
<file path=[Content_Types].xml><?xml version="1.0" encoding="utf-8"?>
<Types xmlns="http://schemas.openxmlformats.org/package/2006/content-types">
  <Default Extension="xlsx" ContentType="application/vnd.openxmlformats-officedocument.spreadsheetml.sheet"/>
  <Default Extension="wmf" ContentType="image/x-wmf"/>
  <Default Extension="png" ContentType="image/png"/>
  <Default Extension="jpg" ContentType="image/jpeg"/>
  <Default Extension="jpeg" ContentType="image/jpeg"/>
  <Default Extension="emf" ContentType="image/x-emf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87"/>
        <w:jc w:val="center"/>
        <w:rPr>
          <w:b/>
          <w:color w:val="000000" w:themeColor="text1"/>
          <w:sz w:val="22"/>
          <w:szCs w:val="22"/>
          <w:highlight w:val="white"/>
        </w:rPr>
      </w:pPr>
      <w:r>
        <w:rPr>
          <w:b/>
          <w:color w:val="000000" w:themeColor="text1"/>
          <w:sz w:val="22"/>
          <w:szCs w:val="22"/>
          <w:highlight w:val="white"/>
        </w:rPr>
        <w:t xml:space="preserve">Требования к оформлению и составлению документации по ценообразованию:</w:t>
      </w:r>
      <w:r>
        <w:rPr>
          <w:b/>
          <w:color w:val="000000" w:themeColor="text1"/>
          <w:sz w:val="22"/>
          <w:szCs w:val="22"/>
          <w:highlight w:val="white"/>
        </w:rPr>
      </w:r>
      <w:r>
        <w:rPr>
          <w:b/>
          <w:color w:val="000000" w:themeColor="text1"/>
          <w:sz w:val="22"/>
          <w:szCs w:val="22"/>
          <w:highlight w:val="white"/>
        </w:rPr>
      </w:r>
    </w:p>
    <w:p>
      <w:pPr>
        <w:pStyle w:val="1015"/>
        <w:numPr>
          <w:ilvl w:val="0"/>
          <w:numId w:val="6"/>
        </w:numPr>
        <w:ind w:left="0" w:firstLine="709"/>
        <w:jc w:val="both"/>
        <w:widowControl/>
        <w:tabs>
          <w:tab w:val="left" w:pos="284" w:leader="none"/>
          <w:tab w:val="clear" w:pos="708" w:leader="none"/>
          <w:tab w:val="left" w:pos="993" w:leader="none"/>
        </w:tabs>
        <w:rPr>
          <w:rFonts w:ascii="Times New Roman" w:hAnsi="Times New Roman" w:cs="Times New Roman"/>
          <w:color w:val="000000" w:themeColor="text1"/>
          <w:sz w:val="22"/>
          <w:szCs w:val="22"/>
          <w:highlight w:val="white"/>
          <w14:ligatures w14:val="none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Использование нормативов ценообразования, не зарегистрированных и не вошедших в ФРСН, </w:t>
      </w:r>
      <w:r>
        <w:rPr>
          <w:rFonts w:ascii="Times New Roman" w:hAnsi="Times New Roman" w:cs="Times New Roman"/>
          <w:b/>
          <w:color w:val="000000" w:themeColor="text1"/>
          <w:sz w:val="22"/>
          <w:szCs w:val="22"/>
          <w:highlight w:val="white"/>
          <w:u w:val="single"/>
        </w:rPr>
        <w:t xml:space="preserve">не допуск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ается, кроме случаев, прямо указанных в настоящих требованиях.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  <w14:ligatures w14:val="none"/>
        </w:rPr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  <w14:ligatures w14:val="none"/>
        </w:rPr>
      </w:r>
    </w:p>
    <w:p>
      <w:pPr>
        <w:pStyle w:val="1015"/>
        <w:numPr>
          <w:ilvl w:val="0"/>
          <w:numId w:val="6"/>
        </w:numPr>
        <w:ind w:left="0" w:firstLine="709"/>
        <w:jc w:val="both"/>
        <w:widowControl/>
        <w:tabs>
          <w:tab w:val="left" w:pos="284" w:leader="none"/>
          <w:tab w:val="clear" w:pos="708" w:leader="none"/>
          <w:tab w:val="left" w:pos="993" w:leader="none"/>
        </w:tabs>
        <w:rPr>
          <w:rFonts w:ascii="Times New Roman" w:hAnsi="Times New Roman" w:cs="Times New Roman"/>
          <w:color w:val="000000" w:themeColor="text1"/>
          <w:sz w:val="22"/>
          <w:szCs w:val="22"/>
          <w:highlight w:val="white"/>
          <w14:ligatures w14:val="none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Версия программного комплекса «Гранд-Смета» (далее–ПК «Гранд-смета») должна быть не ниже 2021.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  <w14:ligatures w14:val="none"/>
        </w:rPr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  <w14:ligatures w14:val="none"/>
        </w:rPr>
      </w:r>
    </w:p>
    <w:p>
      <w:pPr>
        <w:pStyle w:val="1015"/>
        <w:numPr>
          <w:ilvl w:val="0"/>
          <w:numId w:val="6"/>
        </w:numPr>
        <w:ind w:left="0" w:firstLine="709"/>
        <w:jc w:val="both"/>
        <w:widowControl/>
        <w:tabs>
          <w:tab w:val="left" w:pos="284" w:leader="none"/>
          <w:tab w:val="clear" w:pos="708" w:leader="none"/>
          <w:tab w:val="left" w:pos="993" w:leader="none"/>
        </w:tabs>
        <w:rPr>
          <w:rFonts w:ascii="Times New Roman" w:hAnsi="Times New Roman" w:cs="Times New Roman"/>
          <w:color w:val="000000" w:themeColor="text1"/>
          <w:sz w:val="22"/>
          <w:szCs w:val="22"/>
          <w:highlight w:val="white"/>
          <w14:ligatures w14:val="none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При составлении смет руководствоваться «Методикой определения сметной стоимости строительства»,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уры) народов Российской Федерации на территории Российской Федерации», введенной в действие Приказом Министерства строительства и ЖКХ РФ от 04.08.2020 № 421/пр. (далее – Методика определения сметной стоимости строительства) с учетом изменений и дополнений.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  <w14:ligatures w14:val="none"/>
        </w:rPr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  <w14:ligatures w14:val="none"/>
        </w:rPr>
      </w:r>
    </w:p>
    <w:p>
      <w:pPr>
        <w:pStyle w:val="1015"/>
        <w:numPr>
          <w:ilvl w:val="0"/>
          <w:numId w:val="6"/>
        </w:numPr>
        <w:ind w:left="0" w:firstLine="709"/>
        <w:jc w:val="both"/>
        <w:widowControl/>
        <w:tabs>
          <w:tab w:val="left" w:pos="284" w:leader="none"/>
          <w:tab w:val="clear" w:pos="708" w:leader="none"/>
          <w:tab w:val="left" w:pos="993" w:leader="none"/>
        </w:tabs>
        <w:rPr>
          <w:rFonts w:ascii="Times New Roman" w:hAnsi="Times New Roman" w:cs="Times New Roman"/>
          <w:color w:val="000000" w:themeColor="text1"/>
          <w:sz w:val="22"/>
          <w:szCs w:val="22"/>
          <w:highlight w:val="white"/>
          <w14:ligatures w14:val="none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При составлении сметной документации необходимо использовать сметно-нормативную базу 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«ФСНБ-2022 (с Изм. 1-16)» 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актуальной редакции с применением индексов перевода по данным ФГИС на момент составления сметной документации</w:t>
      </w:r>
      <w:bookmarkStart w:id="0" w:name="undefined"/>
      <w:r>
        <w:rPr>
          <w:color w:val="000000" w:themeColor="text1"/>
          <w:highlight w:val="white"/>
        </w:rPr>
      </w:r>
      <w:bookmarkEnd w:id="0"/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  <w14:ligatures w14:val="none"/>
        </w:rPr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  <w14:ligatures w14:val="none"/>
        </w:rPr>
      </w:r>
    </w:p>
    <w:p>
      <w:pPr>
        <w:pStyle w:val="1015"/>
        <w:numPr>
          <w:ilvl w:val="0"/>
          <w:numId w:val="6"/>
        </w:numPr>
        <w:ind w:left="0" w:firstLine="709"/>
        <w:jc w:val="both"/>
        <w:widowControl/>
        <w:tabs>
          <w:tab w:val="left" w:pos="284" w:leader="none"/>
          <w:tab w:val="clear" w:pos="708" w:leader="none"/>
          <w:tab w:val="left" w:pos="993" w:leader="none"/>
        </w:tabs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Определение сметной стоимости работ при новом строительстве возможно следующими методами</w:t>
      </w:r>
      <w:r>
        <w:rPr>
          <w:rFonts w:ascii="Times New Roman" w:hAnsi="Times New Roman" w:cs="Times New Roman"/>
          <w:b/>
          <w:color w:val="000000" w:themeColor="text1"/>
          <w:sz w:val="22"/>
          <w:szCs w:val="22"/>
          <w:highlight w:val="white"/>
        </w:rPr>
        <w:t xml:space="preserve">: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</w:p>
    <w:p>
      <w:pPr>
        <w:pStyle w:val="1015"/>
        <w:numPr>
          <w:ilvl w:val="1"/>
          <w:numId w:val="6"/>
        </w:numPr>
        <w:ind w:left="0" w:right="0" w:firstLine="601"/>
        <w:jc w:val="both"/>
        <w:widowControl/>
        <w:tabs>
          <w:tab w:val="left" w:pos="284" w:leader="none"/>
          <w:tab w:val="clear" w:pos="708" w:leader="none"/>
          <w:tab w:val="left" w:pos="992" w:leader="none"/>
          <w:tab w:val="left" w:pos="1277" w:leader="none"/>
        </w:tabs>
        <w:rPr>
          <w:rFonts w:ascii="Times New Roman" w:hAnsi="Times New Roman" w:cs="Times New Roman"/>
          <w:b/>
          <w:color w:val="000000" w:themeColor="text1"/>
          <w:sz w:val="22"/>
          <w:szCs w:val="22"/>
          <w:highlight w:val="white"/>
        </w:rPr>
      </w:pPr>
      <w:r>
        <w:rPr>
          <w:rFonts w:ascii="Times New Roman" w:hAnsi="Times New Roman" w:cs="Times New Roman"/>
          <w:b/>
          <w:color w:val="000000" w:themeColor="text1"/>
          <w:sz w:val="22"/>
          <w:szCs w:val="22"/>
          <w:highlight w:val="white"/>
          <w:u w:val="single"/>
        </w:rPr>
        <w:t xml:space="preserve">Ресурсно-индексным</w:t>
      </w:r>
      <w:r>
        <w:rPr>
          <w:rFonts w:ascii="Times New Roman" w:hAnsi="Times New Roman" w:cs="Times New Roman"/>
          <w:b/>
          <w:color w:val="000000" w:themeColor="text1"/>
          <w:sz w:val="22"/>
          <w:szCs w:val="22"/>
          <w:highlight w:val="white"/>
          <w:u w:val="none"/>
        </w:rPr>
        <w:t xml:space="preserve"> - 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  <w:u w:val="none"/>
        </w:rPr>
        <w:t xml:space="preserve">с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  <w:u w:val="none"/>
        </w:rPr>
        <w:t xml:space="preserve"> использованием сметных норм, сметных цен строительных ресурсов в базисном уровне цен и одновременным применением информации о сметных ценах, размещенной в ФГИС ЦС, а также индексов изменения сметной стоимости к составляющим единичных расценок в базисном у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  <w:u w:val="none"/>
        </w:rPr>
        <w:t xml:space="preserve">ровне цен. Сметная стоимость, определенная с применением ресурсно-индексного метода, приводится в ЛСР (ЛС) в текущем уровне цен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.</w:t>
      </w:r>
      <w:r>
        <w:rPr>
          <w:rFonts w:ascii="Times New Roman" w:hAnsi="Times New Roman" w:cs="Times New Roman"/>
          <w:b/>
          <w:color w:val="000000" w:themeColor="text1"/>
          <w:sz w:val="22"/>
          <w:szCs w:val="22"/>
          <w:highlight w:val="white"/>
        </w:rPr>
      </w:r>
      <w:r>
        <w:rPr>
          <w:rFonts w:ascii="Times New Roman" w:hAnsi="Times New Roman" w:cs="Times New Roman"/>
          <w:b/>
          <w:color w:val="000000" w:themeColor="text1"/>
          <w:sz w:val="22"/>
          <w:szCs w:val="22"/>
          <w:highlight w:val="white"/>
        </w:rPr>
      </w:r>
    </w:p>
    <w:p>
      <w:pPr>
        <w:pStyle w:val="1015"/>
        <w:numPr>
          <w:ilvl w:val="1"/>
          <w:numId w:val="6"/>
        </w:numPr>
        <w:ind w:left="0" w:right="0" w:firstLine="601"/>
        <w:jc w:val="both"/>
        <w:widowControl/>
        <w:tabs>
          <w:tab w:val="left" w:pos="284" w:leader="none"/>
          <w:tab w:val="clear" w:pos="708" w:leader="none"/>
          <w:tab w:val="left" w:pos="992" w:leader="none"/>
          <w:tab w:val="left" w:pos="1277" w:leader="none"/>
        </w:tabs>
        <w:rPr>
          <w:color w:val="000000" w:themeColor="text1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Сметная цена материальных ресурсов и (или) оборудования (далее –МТР), закупаемых на территории региона субъекта Российской Федерации, определенным в базисном уровне цен п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о состоянию на 01.01.2022 с использованием ФСБЦ-2022, индексов по группам однородных строительных ресурсов, размещенных в федеральной государственной информационной системе ценообразования в строительстве (далее – ФГИС ЦС) по субъекту Российской Федерации.</w:t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pStyle w:val="1015"/>
        <w:numPr>
          <w:ilvl w:val="0"/>
          <w:numId w:val="6"/>
        </w:numPr>
        <w:ind w:left="0" w:firstLine="709"/>
        <w:jc w:val="both"/>
        <w:widowControl/>
        <w:tabs>
          <w:tab w:val="left" w:pos="284" w:leader="none"/>
          <w:tab w:val="clear" w:pos="708" w:leader="none"/>
          <w:tab w:val="left" w:pos="993" w:leader="none"/>
        </w:tabs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В случае </w:t>
      </w:r>
      <w:r>
        <w:rPr>
          <w:rFonts w:ascii="Times New Roman" w:hAnsi="Times New Roman" w:cs="Times New Roman"/>
          <w:i/>
          <w:color w:val="000000" w:themeColor="text1"/>
          <w:sz w:val="22"/>
          <w:szCs w:val="22"/>
          <w:highlight w:val="white"/>
        </w:rPr>
        <w:t xml:space="preserve">отсутствия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 единичных расценок в 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действующей СНБ возможно определение сметной стоимости с применением сборников: «Единых норм и расценок на строительные, монтажные и ремонтно-строительные работы» (далее – ЕНиР) и «Ведомственных норм и расценок на строительные, монтажные и ремонтно-строите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льные работы» (далее – ВНиР). Уровень оплаты труда для ЕНиР и ВНиР определять аналогично примененному в сметной документации методу расчета в соответствии с тарифными ставками сборника «Показатели часовой оплаты труда» (далее - ТС 2001), внесенного в ФРСН.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</w:p>
    <w:p>
      <w:pPr>
        <w:pStyle w:val="1015"/>
        <w:numPr>
          <w:ilvl w:val="0"/>
          <w:numId w:val="6"/>
        </w:numPr>
        <w:ind w:left="0" w:firstLine="709"/>
        <w:jc w:val="both"/>
        <w:widowControl/>
        <w:tabs>
          <w:tab w:val="left" w:pos="284" w:leader="none"/>
          <w:tab w:val="clear" w:pos="708" w:leader="none"/>
          <w:tab w:val="left" w:pos="993" w:leader="none"/>
        </w:tabs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pPr>
      <w:r>
        <w:rPr>
          <w:rFonts w:ascii="Times New Roman" w:hAnsi="Times New Roman" w:cs="Times New Roman"/>
          <w:i/>
          <w:color w:val="000000" w:themeColor="text1"/>
          <w:sz w:val="22"/>
          <w:szCs w:val="22"/>
          <w:highlight w:val="white"/>
        </w:rPr>
        <w:t xml:space="preserve">При отсутствии 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информации о сметных ценах в ФГИС ЦС и 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ФСБЦ-2022 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по материальным ресурсам и оборудованию, их сметная цена формируется </w:t>
      </w:r>
      <w:bookmarkStart w:id="1" w:name="undefined_Копия_1"/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Методом анализа ТКП </w:t>
      </w:r>
      <w:bookmarkEnd w:id="1"/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в соответствии 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Приложением №2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 к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 настоящим Требованиям.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</w:p>
    <w:p>
      <w:pPr>
        <w:pStyle w:val="887"/>
        <w:ind w:firstLine="708"/>
        <w:jc w:val="both"/>
        <w:rPr>
          <w:color w:val="000000" w:themeColor="text1"/>
          <w:sz w:val="22"/>
          <w:szCs w:val="22"/>
          <w:highlight w:val="white"/>
        </w:rPr>
      </w:pPr>
      <w:r>
        <w:rPr>
          <w:color w:val="000000" w:themeColor="text1"/>
          <w:sz w:val="22"/>
          <w:szCs w:val="22"/>
          <w:highlight w:val="white"/>
        </w:rPr>
        <w:t xml:space="preserve">Со сметной документацией в случае учета в сметах материалов поставки Подрядчика по текущим ценам - дополнительно должны быть направлен анализ</w:t>
      </w:r>
      <w:r>
        <w:rPr>
          <w:color w:val="000000" w:themeColor="text1"/>
          <w:sz w:val="22"/>
          <w:szCs w:val="22"/>
          <w:highlight w:val="white"/>
        </w:rPr>
        <w:t xml:space="preserve"> с предложениями от трех поставщиков каждой единицы продукции и документы, подтверждающие текущую стоимость материалов со ссылкой на поставщика товаров (в графе «обоснование» указывается дата/период действия и изготовитель/поставщик/страна производитель). </w:t>
      </w:r>
      <w:r>
        <w:rPr>
          <w:color w:val="000000" w:themeColor="text1"/>
          <w:sz w:val="22"/>
          <w:szCs w:val="22"/>
          <w:highlight w:val="white"/>
        </w:rPr>
      </w:r>
      <w:r>
        <w:rPr>
          <w:color w:val="000000" w:themeColor="text1"/>
          <w:sz w:val="22"/>
          <w:szCs w:val="22"/>
          <w:highlight w:val="white"/>
        </w:rPr>
      </w:r>
    </w:p>
    <w:p>
      <w:pPr>
        <w:pStyle w:val="1015"/>
        <w:numPr>
          <w:ilvl w:val="0"/>
          <w:numId w:val="6"/>
        </w:numPr>
        <w:ind w:left="0" w:firstLine="709"/>
        <w:jc w:val="both"/>
        <w:widowControl/>
        <w:tabs>
          <w:tab w:val="left" w:pos="284" w:leader="none"/>
          <w:tab w:val="clear" w:pos="708" w:leader="none"/>
          <w:tab w:val="left" w:pos="993" w:leader="none"/>
        </w:tabs>
        <w:rPr>
          <w:rFonts w:ascii="Times New Roman" w:hAnsi="Times New Roman" w:cs="Times New Roman"/>
          <w:color w:val="000000" w:themeColor="text1"/>
          <w:sz w:val="22"/>
          <w:szCs w:val="22"/>
          <w:highlight w:val="white"/>
          <w14:ligatures w14:val="none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При определении сметной стоимости в 2-х уровнях цен (текущем и б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азисном), стоимость указанных материальных ресурсов и оборудования, определяется в базисном уровне цен как отношение их стоимости в текущем уровне цен к соответствующим индексам изменения сметной стоимости, примененным при составлении сметной документации.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  <w14:ligatures w14:val="none"/>
        </w:rPr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  <w14:ligatures w14:val="none"/>
        </w:rPr>
      </w:r>
    </w:p>
    <w:p>
      <w:pPr>
        <w:pStyle w:val="1015"/>
        <w:numPr>
          <w:ilvl w:val="0"/>
          <w:numId w:val="6"/>
        </w:numPr>
        <w:ind w:left="0" w:firstLine="709"/>
        <w:jc w:val="both"/>
        <w:widowControl/>
        <w:tabs>
          <w:tab w:val="left" w:pos="284" w:leader="none"/>
          <w:tab w:val="clear" w:pos="708" w:leader="none"/>
          <w:tab w:val="left" w:pos="993" w:leader="none"/>
        </w:tabs>
        <w:rPr>
          <w:rFonts w:ascii="Times New Roman" w:hAnsi="Times New Roman" w:cs="Times New Roman"/>
          <w:color w:val="000000" w:themeColor="text1"/>
          <w:sz w:val="22"/>
          <w:szCs w:val="22"/>
          <w:highlight w:val="white"/>
          <w14:ligatures w14:val="none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Сметная стоимость материальных ресурсов и индивидуального стандартизированного (адаптированного) оборудования в текущем уровне цен, информация о которых отсутствует во ФГИС ЦС и ФРСН, определяется с учетом транспортных и заготовительно-складских затрат.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  <w14:ligatures w14:val="none"/>
        </w:rPr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  <w14:ligatures w14:val="none"/>
        </w:rPr>
      </w:r>
    </w:p>
    <w:p>
      <w:pPr>
        <w:pStyle w:val="1015"/>
        <w:numPr>
          <w:ilvl w:val="0"/>
          <w:numId w:val="6"/>
        </w:numPr>
        <w:ind w:left="0" w:firstLine="709"/>
        <w:jc w:val="both"/>
        <w:widowControl/>
        <w:tabs>
          <w:tab w:val="left" w:pos="284" w:leader="none"/>
          <w:tab w:val="clear" w:pos="708" w:leader="none"/>
          <w:tab w:val="left" w:pos="993" w:leader="none"/>
        </w:tabs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Транспортные затраты определяются следующими методами: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</w:p>
    <w:p>
      <w:pPr>
        <w:pStyle w:val="1015"/>
        <w:numPr>
          <w:ilvl w:val="1"/>
          <w:numId w:val="6"/>
        </w:numPr>
        <w:ind w:left="0" w:right="0" w:firstLine="601"/>
        <w:jc w:val="both"/>
        <w:widowControl/>
        <w:tabs>
          <w:tab w:val="left" w:pos="284" w:leader="none"/>
          <w:tab w:val="clear" w:pos="708" w:leader="none"/>
          <w:tab w:val="left" w:pos="992" w:leader="none"/>
          <w:tab w:val="left" w:pos="1066" w:leader="none"/>
        </w:tabs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2"/>
          <w:szCs w:val="22"/>
          <w:highlight w:val="white"/>
        </w:rPr>
        <w:t xml:space="preserve">по доставке материальных ресурсов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</w:p>
    <w:p>
      <w:pPr>
        <w:pStyle w:val="1015"/>
        <w:numPr>
          <w:ilvl w:val="0"/>
          <w:numId w:val="7"/>
        </w:numPr>
        <w:ind w:left="0" w:firstLine="709"/>
        <w:jc w:val="both"/>
        <w:spacing w:before="40" w:after="40"/>
        <w:tabs>
          <w:tab w:val="clear" w:pos="708" w:leader="none"/>
          <w:tab w:val="left" w:pos="1134" w:leader="none"/>
        </w:tabs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расчетом с учетом расстояния перевозки, класса грузов, типа транспо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</w:p>
    <w:p>
      <w:pPr>
        <w:pStyle w:val="1015"/>
        <w:numPr>
          <w:ilvl w:val="0"/>
          <w:numId w:val="7"/>
        </w:numPr>
        <w:jc w:val="both"/>
        <w:spacing w:before="40" w:after="40"/>
        <w:widowControl/>
        <w:tabs>
          <w:tab w:val="clear" w:pos="708" w:leader="none"/>
          <w:tab w:val="left" w:pos="1134" w:leader="none"/>
        </w:tabs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Методом анализа ТКП в соответствии в соответствии 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Приложением №2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к настоящим Требованиям.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</w:p>
    <w:p>
      <w:pPr>
        <w:pStyle w:val="1015"/>
        <w:numPr>
          <w:ilvl w:val="0"/>
          <w:numId w:val="7"/>
        </w:numPr>
        <w:ind w:left="0" w:firstLine="709"/>
        <w:jc w:val="both"/>
        <w:spacing w:before="40" w:after="40"/>
        <w:widowControl/>
        <w:tabs>
          <w:tab w:val="clear" w:pos="708" w:leader="none"/>
          <w:tab w:val="left" w:pos="1134" w:leader="none"/>
        </w:tabs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в размере до 3-х процентов от отпускной цены материальных ресурсов (при невозможности определить затраты указанными выше способами), по решению заказчика.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</w:p>
    <w:p>
      <w:pPr>
        <w:pStyle w:val="1015"/>
        <w:numPr>
          <w:ilvl w:val="1"/>
          <w:numId w:val="6"/>
        </w:numPr>
        <w:ind w:left="0" w:right="0" w:firstLine="601"/>
        <w:jc w:val="both"/>
        <w:widowControl/>
        <w:tabs>
          <w:tab w:val="left" w:pos="284" w:leader="none"/>
          <w:tab w:val="clear" w:pos="708" w:leader="none"/>
          <w:tab w:val="left" w:pos="992" w:leader="none"/>
          <w:tab w:val="left" w:pos="1066" w:leader="none"/>
        </w:tabs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pPr>
      <w:r>
        <w:rPr>
          <w:rFonts w:ascii="Times New Roman" w:hAnsi="Times New Roman"/>
          <w:b/>
          <w:bCs/>
          <w:color w:val="000000" w:themeColor="text1"/>
          <w:highlight w:val="white"/>
        </w:rPr>
        <w:t xml:space="preserve"> </w:t>
      </w:r>
      <w:r>
        <w:rPr>
          <w:rFonts w:ascii="Times New Roman" w:hAnsi="Times New Roman" w:cs="Times New Roman"/>
          <w:b/>
          <w:bCs/>
          <w:color w:val="000000" w:themeColor="text1"/>
          <w:sz w:val="22"/>
          <w:szCs w:val="22"/>
          <w:highlight w:val="white"/>
        </w:rPr>
        <w:t xml:space="preserve">по доставке оборудования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: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</w:p>
    <w:p>
      <w:pPr>
        <w:pStyle w:val="1015"/>
        <w:numPr>
          <w:ilvl w:val="0"/>
          <w:numId w:val="7"/>
        </w:numPr>
        <w:ind w:left="0" w:firstLine="709"/>
        <w:jc w:val="both"/>
        <w:spacing w:before="40" w:after="40"/>
        <w:widowControl/>
        <w:tabs>
          <w:tab w:val="clear" w:pos="708" w:leader="none"/>
          <w:tab w:val="left" w:pos="1134" w:leader="none"/>
        </w:tabs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расчетом с учетом расстояния перевозки, класса грузов, типа транспо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</w:p>
    <w:p>
      <w:pPr>
        <w:pStyle w:val="1015"/>
        <w:numPr>
          <w:ilvl w:val="0"/>
          <w:numId w:val="7"/>
        </w:numPr>
        <w:ind w:left="0" w:firstLine="709"/>
        <w:jc w:val="both"/>
        <w:spacing w:before="40" w:after="40"/>
        <w:widowControl/>
        <w:tabs>
          <w:tab w:val="clear" w:pos="708" w:leader="none"/>
          <w:tab w:val="left" w:pos="1134" w:leader="none"/>
        </w:tabs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Методом анализа ТКП в соответствии 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Приложением №2 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к настоящим Требованиям.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</w:p>
    <w:p>
      <w:pPr>
        <w:pStyle w:val="1015"/>
        <w:numPr>
          <w:ilvl w:val="0"/>
          <w:numId w:val="7"/>
        </w:numPr>
        <w:ind w:left="0" w:firstLine="709"/>
        <w:jc w:val="both"/>
        <w:spacing w:before="40" w:after="40"/>
        <w:tabs>
          <w:tab w:val="left" w:pos="284" w:leader="none"/>
          <w:tab w:val="clear" w:pos="708" w:leader="none"/>
          <w:tab w:val="left" w:pos="1134" w:leader="none"/>
        </w:tabs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в размере до 3-х процентов от отпускной цены оборудования (при невозможности определить затраты указанными выше способами), по решению заказчика.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</w:p>
    <w:p>
      <w:pPr>
        <w:pStyle w:val="1015"/>
        <w:ind w:firstLine="709"/>
        <w:jc w:val="both"/>
        <w:spacing w:before="40" w:after="40"/>
        <w:tabs>
          <w:tab w:val="left" w:pos="567" w:leader="none"/>
          <w:tab w:val="clear" w:pos="708" w:leader="none"/>
          <w:tab w:val="left" w:pos="993" w:leader="none"/>
        </w:tabs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Если транспортировка осуществляется заказчиком самостоятельно (самовывоз), данный показатель не учитывается.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</w:p>
    <w:p>
      <w:pPr>
        <w:pStyle w:val="1015"/>
        <w:numPr>
          <w:ilvl w:val="0"/>
          <w:numId w:val="6"/>
        </w:numPr>
        <w:ind w:left="0" w:firstLine="709"/>
        <w:jc w:val="both"/>
        <w:widowControl/>
        <w:tabs>
          <w:tab w:val="left" w:pos="284" w:leader="none"/>
          <w:tab w:val="clear" w:pos="708" w:leader="none"/>
          <w:tab w:val="left" w:pos="993" w:leader="none"/>
        </w:tabs>
        <w:rPr>
          <w:rFonts w:ascii="Times New Roman" w:hAnsi="Times New Roman" w:cs="Times New Roman"/>
          <w:color w:val="000000" w:themeColor="text1"/>
          <w:sz w:val="22"/>
          <w:szCs w:val="22"/>
          <w:highlight w:val="white"/>
          <w14:ligatures w14:val="none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Заготовительно-складские расходы определяются в % от суммы отпускной цены материалов, изделий, конструкций, оборудования и транспортных затрат: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  <w14:ligatures w14:val="none"/>
        </w:rPr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  <w14:ligatures w14:val="none"/>
        </w:rPr>
      </w:r>
    </w:p>
    <w:p>
      <w:pPr>
        <w:pStyle w:val="1015"/>
        <w:numPr>
          <w:ilvl w:val="0"/>
          <w:numId w:val="8"/>
        </w:numPr>
        <w:ind w:left="0" w:firstLine="709"/>
        <w:jc w:val="both"/>
        <w:spacing w:before="40" w:after="40"/>
        <w:tabs>
          <w:tab w:val="left" w:pos="567" w:leader="none"/>
          <w:tab w:val="clear" w:pos="708" w:leader="none"/>
          <w:tab w:val="left" w:pos="993" w:leader="none"/>
        </w:tabs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2% - для материальных ресурсов (кроме металлоконструкций);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</w:p>
    <w:p>
      <w:pPr>
        <w:pStyle w:val="1015"/>
        <w:numPr>
          <w:ilvl w:val="0"/>
          <w:numId w:val="8"/>
        </w:numPr>
        <w:ind w:left="0" w:firstLine="709"/>
        <w:jc w:val="both"/>
        <w:spacing w:before="40" w:after="40"/>
        <w:tabs>
          <w:tab w:val="left" w:pos="567" w:leader="none"/>
          <w:tab w:val="clear" w:pos="708" w:leader="none"/>
          <w:tab w:val="left" w:pos="993" w:leader="none"/>
        </w:tabs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0,75% - для металлоконструкций;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</w:p>
    <w:p>
      <w:pPr>
        <w:pStyle w:val="1015"/>
        <w:numPr>
          <w:ilvl w:val="0"/>
          <w:numId w:val="8"/>
        </w:numPr>
        <w:ind w:left="0" w:firstLine="709"/>
        <w:jc w:val="both"/>
        <w:spacing w:before="40" w:after="40"/>
        <w:tabs>
          <w:tab w:val="left" w:pos="567" w:leader="none"/>
          <w:tab w:val="clear" w:pos="708" w:leader="none"/>
          <w:tab w:val="left" w:pos="993" w:leader="none"/>
        </w:tabs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1,2% - для оборудования.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</w:p>
    <w:p>
      <w:pPr>
        <w:pStyle w:val="1015"/>
        <w:numPr>
          <w:ilvl w:val="0"/>
          <w:numId w:val="6"/>
        </w:numPr>
        <w:ind w:left="0" w:firstLine="709"/>
        <w:jc w:val="both"/>
        <w:widowControl/>
        <w:tabs>
          <w:tab w:val="left" w:pos="284" w:leader="none"/>
          <w:tab w:val="clear" w:pos="708" w:leader="none"/>
          <w:tab w:val="left" w:pos="993" w:leader="none"/>
        </w:tabs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Затраты на эксплуатацию строительной техники, не учтенной нормами и расценками, включенными в ФРСН, определяются Методом анализа ТКП в соответствии 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Приложением №2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 к 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настоящим Требованиям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 и включаются в Главу 9 С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СРСС.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pStyle w:val="1015"/>
        <w:numPr>
          <w:ilvl w:val="0"/>
          <w:numId w:val="6"/>
        </w:numPr>
        <w:ind w:left="0" w:firstLine="709"/>
        <w:jc w:val="both"/>
        <w:widowControl/>
        <w:tabs>
          <w:tab w:val="left" w:pos="284" w:leader="none"/>
          <w:tab w:val="clear" w:pos="708" w:leader="none"/>
          <w:tab w:val="left" w:pos="993" w:leader="none"/>
        </w:tabs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При формировании сметной стоимости с ЛСР (ЛС) отдельно выделяется сметная стоимость по видам оборудования: инженерное; технологическое; лабораторное; транспортные средства; инструмент для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технологических 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процессов; производственный и хозяйственный инвентарь, в т.ч. мебель.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</w:p>
    <w:p>
      <w:pPr>
        <w:pStyle w:val="1015"/>
        <w:numPr>
          <w:ilvl w:val="0"/>
          <w:numId w:val="6"/>
        </w:numPr>
        <w:ind w:left="0" w:firstLine="709"/>
        <w:jc w:val="both"/>
        <w:widowControl/>
        <w:tabs>
          <w:tab w:val="left" w:pos="284" w:leader="none"/>
          <w:tab w:val="clear" w:pos="708" w:leader="none"/>
          <w:tab w:val="left" w:pos="993" w:leader="none"/>
        </w:tabs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При использовании в сметах коэффициентов и лимитированных затрат указывать обоснование из технической части, вводных указаний сборников или других нормативных документов и приложений к ним.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</w:p>
    <w:p>
      <w:pPr>
        <w:pStyle w:val="1015"/>
        <w:numPr>
          <w:ilvl w:val="0"/>
          <w:numId w:val="6"/>
        </w:numPr>
        <w:ind w:left="0" w:firstLine="709"/>
        <w:jc w:val="both"/>
        <w:widowControl/>
        <w:tabs>
          <w:tab w:val="left" w:pos="284" w:leader="none"/>
          <w:tab w:val="clear" w:pos="708" w:leader="none"/>
          <w:tab w:val="left" w:pos="993" w:leader="none"/>
        </w:tabs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Поправочные коэффициенты из технической части к расценкам (например, на демонтаж или для учета особых условий выполнения работ) учитываются индивидуально для каждой позиции и в выходных формах при выгрузке в формат «Excel» указываются попозиционно.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Коэффициенты, учитывающие усложняющие факторы и условия производства работ, могут применяться одновременно с другими коэффициентами, предусмотренными сметными нормативами, включенными в ФРСН. При одновременном 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применении коэффициенты перемножаются, результат округляется до семи знаков после запятой.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</w:p>
    <w:p>
      <w:pPr>
        <w:pStyle w:val="1015"/>
        <w:numPr>
          <w:ilvl w:val="0"/>
          <w:numId w:val="6"/>
        </w:numPr>
        <w:ind w:left="0" w:firstLine="709"/>
        <w:jc w:val="both"/>
        <w:widowControl/>
        <w:tabs>
          <w:tab w:val="left" w:pos="284" w:leader="none"/>
          <w:tab w:val="clear" w:pos="708" w:leader="none"/>
          <w:tab w:val="left" w:pos="993" w:leader="none"/>
        </w:tabs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Резерв средств на непредвиденные работы и затраты определять в ТТ и начислять в смете в процентах в размере, указанном в утвержденных ТТ. Порядок расчета за непредвиденные работы и затраты оговаривать в договоре подряда.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</w:p>
    <w:p>
      <w:pPr>
        <w:pStyle w:val="1015"/>
        <w:numPr>
          <w:ilvl w:val="0"/>
          <w:numId w:val="6"/>
        </w:numPr>
        <w:ind w:left="0" w:firstLine="709"/>
        <w:jc w:val="both"/>
        <w:widowControl/>
        <w:tabs>
          <w:tab w:val="left" w:pos="284" w:leader="none"/>
          <w:tab w:val="clear" w:pos="708" w:leader="none"/>
          <w:tab w:val="left" w:pos="993" w:leader="none"/>
        </w:tabs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При формировании цены по сборникам ГЭСН(ГЭСНр, ГЭСНм, ГЭСНп) нормативы сметной</w:t>
      </w:r>
      <w:r>
        <w:rPr>
          <w:color w:val="000000" w:themeColor="text1"/>
          <w:highlight w:val="white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прибыли принимать на СМР – 40% от ФОТ, на ПНР – 36% от ФОТ.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</w:p>
    <w:p>
      <w:pPr>
        <w:pStyle w:val="1015"/>
        <w:numPr>
          <w:ilvl w:val="0"/>
          <w:numId w:val="6"/>
        </w:numPr>
        <w:ind w:left="0" w:firstLine="709"/>
        <w:jc w:val="both"/>
        <w:widowControl/>
        <w:tabs>
          <w:tab w:val="left" w:pos="284" w:leader="none"/>
          <w:tab w:val="clear" w:pos="708" w:leader="none"/>
          <w:tab w:val="left" w:pos="993" w:leader="none"/>
        </w:tabs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Сметная стоимость пусконаладочных работ определяется 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на основании утвержденных заказчиком программы и графика. Расчет стоимости пусконаладочных работ составлять с применением сметных нормативов, включенных в ФРСН. При определении сметной стоимости полного комплекса пусконаладочных работ на основании раздела 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  <w:lang w:val="en-US"/>
        </w:rPr>
        <w:t xml:space="preserve">VII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. Методики определения сметной стоимости строительства: 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</w:p>
    <w:p>
      <w:pPr>
        <w:pStyle w:val="1015"/>
        <w:numPr>
          <w:ilvl w:val="0"/>
          <w:numId w:val="10"/>
        </w:numPr>
        <w:ind w:left="0" w:firstLine="709"/>
        <w:jc w:val="both"/>
        <w:spacing w:before="40" w:after="40"/>
        <w:tabs>
          <w:tab w:val="left" w:pos="567" w:leader="none"/>
          <w:tab w:val="clear" w:pos="708" w:leader="none"/>
          <w:tab w:val="left" w:pos="851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Затраты на проведение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 пусконаладочных работ «вхолостую» по объектам производственного и непроизводственного назначения, связанных с получением дохода от реализации товаров (услуг) включаются в Главу 9 «Прочие работы и затраты» (графы 7 и 8) ССРСС. В соответствии с заданием Зак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азчика и при обосновании программами ПНР (комплексного опробования оборудования), в сметной стоимости ПНР дополнительно могут учитываться: стоимость материальных, энергетических ресурсов, сырья и полуфабрикатов, используемых при проведении ПНР «вхолостую».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</w:p>
    <w:p>
      <w:pPr>
        <w:pStyle w:val="1015"/>
        <w:numPr>
          <w:ilvl w:val="0"/>
          <w:numId w:val="10"/>
        </w:numPr>
        <w:ind w:left="0" w:firstLine="709"/>
        <w:jc w:val="both"/>
        <w:spacing w:before="40" w:after="40"/>
        <w:tabs>
          <w:tab w:val="left" w:pos="567" w:leader="none"/>
          <w:tab w:val="clear" w:pos="708" w:leader="none"/>
          <w:tab w:val="left" w:pos="851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Пусконаладочные работ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ы «под нагрузкой» для объектов производственного и непроизводственного назначения, связанных с получением дохода от реализации товаров (услуг) не относятся на сметную стоимость строительства, отображаются справочно и в сметной документации не учитываются. 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</w:p>
    <w:p>
      <w:pPr>
        <w:pStyle w:val="1015"/>
        <w:numPr>
          <w:ilvl w:val="0"/>
          <w:numId w:val="6"/>
        </w:numPr>
        <w:ind w:left="0" w:firstLine="709"/>
        <w:jc w:val="both"/>
        <w:widowControl/>
        <w:tabs>
          <w:tab w:val="left" w:pos="284" w:leader="none"/>
          <w:tab w:val="clear" w:pos="708" w:leader="none"/>
          <w:tab w:val="left" w:pos="993" w:leader="none"/>
        </w:tabs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При определении сметных затрат на демонтаж строительных конструкций и оборудования стоимость погрузки, перевозки (от строительной площадки до места утилизации или складирования) и разгрузки строитель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ного мусора и материалов, полученных при разборке строительных конструкций и оборудования, следует учитывать дополнительно, на основании проектной и (или) иной технической документации, проекта организации работ по сносу объекта капитального строительства.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</w:p>
    <w:p>
      <w:pPr>
        <w:pStyle w:val="1015"/>
        <w:numPr>
          <w:ilvl w:val="0"/>
          <w:numId w:val="6"/>
        </w:numPr>
        <w:ind w:left="0" w:firstLine="709"/>
        <w:jc w:val="both"/>
        <w:widowControl/>
        <w:tabs>
          <w:tab w:val="left" w:pos="284" w:leader="none"/>
          <w:tab w:val="clear" w:pos="708" w:leader="none"/>
          <w:tab w:val="left" w:pos="993" w:leader="none"/>
        </w:tabs>
        <w:rPr>
          <w:rFonts w:ascii="Times New Roman" w:hAnsi="Times New Roman" w:cs="Times New Roman"/>
          <w:b/>
          <w:color w:val="000000" w:themeColor="text1"/>
          <w:sz w:val="22"/>
          <w:szCs w:val="22"/>
          <w:highlight w:val="white"/>
          <w:u w:val="single"/>
        </w:rPr>
      </w:pPr>
      <w:r>
        <w:rPr>
          <w:color w:val="000000" w:themeColor="text1"/>
          <w:highlight w:val="white"/>
        </w:rPr>
      </w:r>
      <w:bookmarkStart w:id="3" w:name="undefined_Копия_3"/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В локальных сметных расчетах построчные и итоговые суммы </w:t>
      </w:r>
      <w:r>
        <w:rPr>
          <w:rFonts w:ascii="Times New Roman" w:hAnsi="Times New Roman" w:cs="Times New Roman"/>
          <w:b/>
          <w:color w:val="000000" w:themeColor="text1"/>
          <w:sz w:val="22"/>
          <w:szCs w:val="22"/>
          <w:highlight w:val="white"/>
          <w:u w:val="single"/>
        </w:rPr>
        <w:t xml:space="preserve">округлять:</w:t>
      </w:r>
      <w:bookmarkEnd w:id="3"/>
      <w:r>
        <w:rPr>
          <w:rFonts w:ascii="Times New Roman" w:hAnsi="Times New Roman" w:cs="Times New Roman"/>
          <w:b/>
          <w:color w:val="000000" w:themeColor="text1"/>
          <w:sz w:val="22"/>
          <w:szCs w:val="22"/>
          <w:highlight w:val="white"/>
          <w:u w:val="single"/>
        </w:rPr>
      </w:r>
      <w:r>
        <w:rPr>
          <w:rFonts w:ascii="Times New Roman" w:hAnsi="Times New Roman" w:cs="Times New Roman"/>
          <w:b/>
          <w:color w:val="000000" w:themeColor="text1"/>
          <w:sz w:val="22"/>
          <w:szCs w:val="22"/>
          <w:highlight w:val="white"/>
          <w:u w:val="single"/>
        </w:rPr>
      </w:r>
    </w:p>
    <w:p>
      <w:pPr>
        <w:pStyle w:val="1015"/>
        <w:numPr>
          <w:ilvl w:val="0"/>
          <w:numId w:val="11"/>
        </w:numPr>
        <w:ind w:left="0" w:firstLine="709"/>
        <w:jc w:val="both"/>
        <w:spacing w:before="40" w:after="40"/>
        <w:tabs>
          <w:tab w:val="left" w:pos="567" w:leader="none"/>
          <w:tab w:val="clear" w:pos="708" w:leader="none"/>
          <w:tab w:val="left" w:pos="851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при ресурсно-индексном и ресурсным методах, а также в сметных расчетах на отдельные виды затрат - </w:t>
      </w:r>
      <w:r>
        <w:rPr>
          <w:rFonts w:ascii="Times New Roman" w:hAnsi="Times New Roman" w:cs="Times New Roman"/>
          <w:b/>
          <w:color w:val="000000" w:themeColor="text1"/>
          <w:sz w:val="22"/>
          <w:szCs w:val="22"/>
          <w:highlight w:val="white"/>
        </w:rPr>
        <w:t xml:space="preserve">в рублях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2"/>
          <w:szCs w:val="22"/>
          <w:highlight w:val="white"/>
        </w:rPr>
        <w:t xml:space="preserve">до целых единиц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;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</w:p>
    <w:p>
      <w:pPr>
        <w:pStyle w:val="1015"/>
        <w:numPr>
          <w:ilvl w:val="0"/>
          <w:numId w:val="11"/>
        </w:numPr>
        <w:ind w:left="0" w:firstLine="709"/>
        <w:jc w:val="both"/>
        <w:spacing w:before="40" w:after="40"/>
        <w:tabs>
          <w:tab w:val="left" w:pos="567" w:leader="none"/>
          <w:tab w:val="clear" w:pos="708" w:leader="none"/>
          <w:tab w:val="left" w:pos="851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в объектных сметных расчетах (сметах), сводном сметном расчете стоимости строительства и сводке затрат - </w:t>
      </w:r>
      <w:r>
        <w:rPr>
          <w:rFonts w:ascii="Times New Roman" w:hAnsi="Times New Roman" w:cs="Times New Roman"/>
          <w:b/>
          <w:color w:val="000000" w:themeColor="text1"/>
          <w:sz w:val="22"/>
          <w:szCs w:val="22"/>
          <w:highlight w:val="white"/>
        </w:rPr>
        <w:t xml:space="preserve">рублях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2"/>
          <w:szCs w:val="22"/>
          <w:highlight w:val="white"/>
        </w:rPr>
        <w:t xml:space="preserve">до двух знаков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 после запятой. 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</w:p>
    <w:p>
      <w:pPr>
        <w:pStyle w:val="1015"/>
        <w:numPr>
          <w:ilvl w:val="0"/>
          <w:numId w:val="6"/>
        </w:numPr>
        <w:ind w:left="0" w:firstLine="709"/>
        <w:jc w:val="both"/>
        <w:widowControl/>
        <w:tabs>
          <w:tab w:val="left" w:pos="284" w:leader="none"/>
          <w:tab w:val="clear" w:pos="708" w:leader="none"/>
          <w:tab w:val="left" w:pos="993" w:leader="none"/>
        </w:tabs>
        <w:rPr>
          <w:rFonts w:ascii="Times New Roman" w:hAnsi="Times New Roman" w:cs="Times New Roman"/>
          <w:color w:val="000000" w:themeColor="text1"/>
          <w:sz w:val="22"/>
          <w:szCs w:val="22"/>
          <w:highlight w:val="white"/>
          <w14:ligatures w14:val="none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Выходные формы сметных расчетов должны соответствовать Образцам по 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приложениям 1.5. 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  <w14:ligatures w14:val="none"/>
        </w:rPr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  <w14:ligatures w14:val="none"/>
        </w:rPr>
      </w:r>
    </w:p>
    <w:p>
      <w:pPr>
        <w:pStyle w:val="1015"/>
        <w:numPr>
          <w:ilvl w:val="0"/>
          <w:numId w:val="6"/>
        </w:numPr>
        <w:ind w:left="0" w:firstLine="709"/>
        <w:jc w:val="both"/>
        <w:widowControl/>
        <w:tabs>
          <w:tab w:val="left" w:pos="284" w:leader="none"/>
          <w:tab w:val="clear" w:pos="708" w:leader="none"/>
          <w:tab w:val="left" w:pos="993" w:leader="none"/>
        </w:tabs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В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 случае предоставления Заказчиком услуг, указанных в разделе Технических требований «Иные условия поставки товаров, выполнения работ, оказания услуг»: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</w:p>
    <w:p>
      <w:pPr>
        <w:pStyle w:val="1015"/>
        <w:numPr>
          <w:ilvl w:val="1"/>
          <w:numId w:val="6"/>
        </w:numPr>
        <w:ind w:left="0" w:right="0" w:firstLine="601"/>
        <w:jc w:val="both"/>
        <w:widowControl/>
        <w:tabs>
          <w:tab w:val="left" w:pos="284" w:leader="none"/>
          <w:tab w:val="clear" w:pos="708" w:leader="none"/>
          <w:tab w:val="left" w:pos="992" w:leader="none"/>
          <w:tab w:val="left" w:pos="1066" w:leader="none"/>
        </w:tabs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Из норм и расценок, внесенных в ФРСН, при составлении сметной документации исключать затраты: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</w:p>
    <w:p>
      <w:pPr>
        <w:pStyle w:val="1015"/>
        <w:numPr>
          <w:ilvl w:val="2"/>
          <w:numId w:val="6"/>
        </w:numPr>
        <w:ind w:left="0" w:right="0" w:firstLine="567"/>
        <w:jc w:val="both"/>
        <w:spacing w:before="40" w:after="40"/>
        <w:widowControl/>
        <w:tabs>
          <w:tab w:val="left" w:pos="567" w:leader="none"/>
          <w:tab w:val="clear" w:pos="708" w:leader="none"/>
          <w:tab w:val="left" w:pos="851" w:leader="none"/>
          <w:tab w:val="left" w:pos="1134" w:leader="none"/>
          <w:tab w:val="left" w:pos="1186" w:leader="none"/>
        </w:tabs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По предоставляемой электроэнергии (в том числе, в составе стоимости машино-часа):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</w:p>
    <w:p>
      <w:pPr>
        <w:pStyle w:val="1004"/>
        <w:numPr>
          <w:ilvl w:val="0"/>
          <w:numId w:val="12"/>
        </w:numPr>
        <w:contextualSpacing/>
        <w:ind w:left="0" w:firstLine="709"/>
        <w:jc w:val="both"/>
        <w:spacing w:before="40" w:after="40"/>
        <w:tabs>
          <w:tab w:val="left" w:pos="567" w:leader="none"/>
          <w:tab w:val="clear" w:pos="708" w:leader="none"/>
          <w:tab w:val="left" w:pos="851" w:leader="none"/>
          <w:tab w:val="left" w:pos="1134" w:leader="none"/>
          <w:tab w:val="left" w:pos="1701" w:leader="none"/>
        </w:tabs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  <w:t xml:space="preserve">Рассчитанная сумма возврата стоимости </w:t>
      </w:r>
      <w:r>
        <w:rPr>
          <w:color w:val="000000" w:themeColor="text1"/>
          <w:highlight w:val="white"/>
        </w:rPr>
        <w:t xml:space="preserve">электрической энергии (со знаком «–») учитывается в последней главе ССРСС, где имеется смета на СМР (как правило, в главах 1-7, если затраты по главе 8 определены на основании смет, то сумма возврата стоимости электрической энергии учитывается в главе 8). </w:t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pStyle w:val="1004"/>
        <w:numPr>
          <w:ilvl w:val="0"/>
          <w:numId w:val="12"/>
        </w:numPr>
        <w:contextualSpacing/>
        <w:ind w:left="0" w:firstLine="709"/>
        <w:jc w:val="both"/>
        <w:spacing w:before="40" w:after="40"/>
        <w:tabs>
          <w:tab w:val="left" w:pos="567" w:leader="none"/>
          <w:tab w:val="clear" w:pos="708" w:leader="none"/>
          <w:tab w:val="left" w:pos="851" w:leader="none"/>
          <w:tab w:val="left" w:pos="1134" w:leader="none"/>
          <w:tab w:val="left" w:pos="1701" w:leader="none"/>
        </w:tabs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  <w:t xml:space="preserve">Индекс пересчета в текущие цены применять аналогичный примененному в сметной документации.</w:t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pStyle w:val="1004"/>
        <w:numPr>
          <w:ilvl w:val="0"/>
          <w:numId w:val="12"/>
        </w:numPr>
        <w:contextualSpacing/>
        <w:ind w:left="0" w:firstLine="709"/>
        <w:jc w:val="both"/>
        <w:spacing w:before="40" w:after="40"/>
        <w:tabs>
          <w:tab w:val="left" w:pos="567" w:leader="none"/>
          <w:tab w:val="clear" w:pos="708" w:leader="none"/>
          <w:tab w:val="left" w:pos="851" w:leader="none"/>
          <w:tab w:val="left" w:pos="1134" w:leader="none"/>
          <w:tab w:val="left" w:pos="1701" w:leader="none"/>
        </w:tabs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  <w:t xml:space="preserve">При применении индексов по статьям затрат в сметной документации для данного ресурса применять индекс на материалы.</w:t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pStyle w:val="1004"/>
        <w:numPr>
          <w:ilvl w:val="0"/>
          <w:numId w:val="12"/>
        </w:numPr>
        <w:contextualSpacing/>
        <w:ind w:left="0" w:firstLine="709"/>
        <w:jc w:val="both"/>
        <w:spacing w:before="40" w:after="40"/>
        <w:tabs>
          <w:tab w:val="left" w:pos="567" w:leader="none"/>
          <w:tab w:val="clear" w:pos="708" w:leader="none"/>
          <w:tab w:val="left" w:pos="851" w:leader="none"/>
          <w:tab w:val="left" w:pos="1134" w:leader="none"/>
          <w:tab w:val="left" w:pos="1701" w:leader="none"/>
        </w:tabs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  <w:t xml:space="preserve">По предоставляемым грузоподъемным механизмам, учтенным в составе сметных норм и расценок:</w:t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pStyle w:val="1004"/>
        <w:numPr>
          <w:ilvl w:val="0"/>
          <w:numId w:val="12"/>
        </w:numPr>
        <w:contextualSpacing/>
        <w:ind w:left="0" w:firstLine="709"/>
        <w:jc w:val="both"/>
        <w:spacing w:before="40" w:after="40"/>
        <w:tabs>
          <w:tab w:val="left" w:pos="567" w:leader="none"/>
          <w:tab w:val="clear" w:pos="708" w:leader="none"/>
          <w:tab w:val="left" w:pos="851" w:leader="none"/>
          <w:tab w:val="left" w:pos="1134" w:leader="none"/>
          <w:tab w:val="left" w:pos="1701" w:leader="none"/>
        </w:tabs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  <w:t xml:space="preserve">Исключать из норм и расценок предоставляемые грузоподъемные механизмы. </w:t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pStyle w:val="1004"/>
        <w:numPr>
          <w:ilvl w:val="0"/>
          <w:numId w:val="12"/>
        </w:numPr>
        <w:contextualSpacing/>
        <w:ind w:left="0" w:firstLine="709"/>
        <w:jc w:val="both"/>
        <w:spacing w:before="40" w:after="40"/>
        <w:tabs>
          <w:tab w:val="left" w:pos="567" w:leader="none"/>
          <w:tab w:val="clear" w:pos="708" w:leader="none"/>
          <w:tab w:val="left" w:pos="851" w:leader="none"/>
          <w:tab w:val="left" w:pos="1134" w:leader="none"/>
          <w:tab w:val="left" w:pos="1701" w:leader="none"/>
        </w:tabs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  <w:t xml:space="preserve">В случае использования подрядчиком собственных/арендованных механизмов полностью, либо частично, для выполнения конкретной работы на строительной площадке, из расценки на выполнение данных работ грузоподъемные механизмы не исключаются. </w:t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pStyle w:val="1015"/>
        <w:numPr>
          <w:ilvl w:val="0"/>
          <w:numId w:val="6"/>
        </w:numPr>
        <w:ind w:left="0" w:firstLine="709"/>
        <w:jc w:val="both"/>
        <w:widowControl/>
        <w:tabs>
          <w:tab w:val="left" w:pos="284" w:leader="none"/>
          <w:tab w:val="clear" w:pos="708" w:leader="none"/>
          <w:tab w:val="left" w:pos="993" w:leader="none"/>
        </w:tabs>
        <w:rPr>
          <w:rFonts w:ascii="Times New Roman" w:hAnsi="Times New Roman" w:cs="Times New Roman"/>
          <w:color w:val="000000" w:themeColor="text1"/>
          <w:sz w:val="22"/>
          <w:szCs w:val="22"/>
          <w:highlight w:val="white"/>
          <w14:ligatures w14:val="none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В сметных расчетах при исключении и добавлении ресурсов (материалов) необходимо данные ресурсы относить в отдельную позицию, не допускается изменение внутри расценки.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  <w14:ligatures w14:val="none"/>
        </w:rPr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  <w14:ligatures w14:val="none"/>
        </w:rPr>
      </w:r>
    </w:p>
    <w:p>
      <w:pPr>
        <w:pStyle w:val="1015"/>
        <w:numPr>
          <w:ilvl w:val="0"/>
          <w:numId w:val="6"/>
        </w:numPr>
        <w:ind w:left="0" w:firstLine="709"/>
        <w:jc w:val="both"/>
        <w:widowControl/>
        <w:tabs>
          <w:tab w:val="left" w:pos="284" w:leader="none"/>
          <w:tab w:val="clear" w:pos="708" w:leader="none"/>
          <w:tab w:val="left" w:pos="993" w:leader="none"/>
        </w:tabs>
        <w:rPr>
          <w:rFonts w:ascii="Times New Roman" w:hAnsi="Times New Roman" w:cs="Times New Roman"/>
          <w:color w:val="000000" w:themeColor="text1"/>
          <w:sz w:val="22"/>
          <w:szCs w:val="22"/>
          <w:highlight w:val="white"/>
          <w14:ligatures w14:val="none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При наличии двух и более сметных расчетов составлять ССР в текущем уровне цен по форме Приложения № 1.1 к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 Требования к оформлению и составлению документации по ценообразованию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.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  <w14:ligatures w14:val="none"/>
        </w:rPr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  <w14:ligatures w14:val="none"/>
        </w:rPr>
      </w:r>
    </w:p>
    <w:p>
      <w:pPr>
        <w:pStyle w:val="1015"/>
        <w:numPr>
          <w:ilvl w:val="0"/>
          <w:numId w:val="6"/>
        </w:numPr>
        <w:ind w:left="0" w:firstLine="709"/>
        <w:jc w:val="both"/>
        <w:widowControl/>
        <w:tabs>
          <w:tab w:val="left" w:pos="284" w:leader="none"/>
          <w:tab w:val="clear" w:pos="708" w:leader="none"/>
          <w:tab w:val="left" w:pos="993" w:leader="none"/>
        </w:tabs>
        <w:rPr>
          <w:rFonts w:ascii="Times New Roman" w:hAnsi="Times New Roman"/>
          <w:color w:val="000000" w:themeColor="text1"/>
          <w:sz w:val="22"/>
          <w:szCs w:val="22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В</w:t>
      </w:r>
      <w:r>
        <w:rPr>
          <w:rFonts w:ascii="Times New Roman" w:hAnsi="Times New Roman"/>
          <w:color w:val="000000" w:themeColor="text1"/>
          <w:sz w:val="22"/>
          <w:szCs w:val="22"/>
          <w:highlight w:val="white"/>
        </w:rPr>
        <w:t xml:space="preserve"> случае заключений дополнительных соглашений к договору (далее - д/с), ССР необходимо выполнять в накопительной форме с учетом 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ЛСР (</w:t>
      </w:r>
      <w:r>
        <w:rPr>
          <w:rFonts w:ascii="Times New Roman" w:hAnsi="Times New Roman"/>
          <w:color w:val="000000" w:themeColor="text1"/>
          <w:sz w:val="22"/>
          <w:szCs w:val="22"/>
          <w:highlight w:val="white"/>
        </w:rPr>
        <w:t xml:space="preserve">ЛС) к основному договору и ко всем заключенным д/с к нему. В итогах ССР (справочно) указывать</w:t>
      </w:r>
      <w:r>
        <w:rPr>
          <w:rFonts w:ascii="Times New Roman" w:hAnsi="Times New Roman"/>
          <w:color w:val="000000" w:themeColor="text1"/>
          <w:sz w:val="22"/>
          <w:szCs w:val="22"/>
          <w:highlight w:val="white"/>
        </w:rPr>
        <w:t xml:space="preserve"> суммы изменения (уменьшения, увеличения) основного договора на основании заключения д/с, которые определяются как разница между суммой ССР очередного д/с и стоимостью основного договора. Форма ССР с учетом заключения д/с к договору приведена в Приложении 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№ 1.2 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к Требования к оформлению и составлению документации по ценообразованию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. </w:t>
      </w:r>
      <w:r>
        <w:rPr>
          <w:rFonts w:ascii="Times New Roman" w:hAnsi="Times New Roman"/>
          <w:color w:val="000000" w:themeColor="text1"/>
          <w:sz w:val="22"/>
          <w:szCs w:val="22"/>
          <w:highlight w:val="white"/>
        </w:rPr>
      </w:r>
      <w:r>
        <w:rPr>
          <w:rFonts w:ascii="Times New Roman" w:hAnsi="Times New Roman"/>
          <w:color w:val="000000" w:themeColor="text1"/>
          <w:sz w:val="22"/>
          <w:szCs w:val="22"/>
          <w:highlight w:val="white"/>
        </w:rPr>
      </w:r>
    </w:p>
    <w:p>
      <w:pPr>
        <w:pStyle w:val="1015"/>
        <w:numPr>
          <w:ilvl w:val="0"/>
          <w:numId w:val="6"/>
        </w:numPr>
        <w:ind w:left="0" w:firstLine="709"/>
        <w:jc w:val="both"/>
        <w:widowControl/>
        <w:tabs>
          <w:tab w:val="left" w:pos="284" w:leader="none"/>
          <w:tab w:val="clear" w:pos="708" w:leader="none"/>
          <w:tab w:val="left" w:pos="993" w:leader="none"/>
        </w:tabs>
        <w:rPr>
          <w:rFonts w:ascii="Times New Roman" w:hAnsi="Times New Roman"/>
          <w:color w:val="000000" w:themeColor="text1"/>
          <w:sz w:val="22"/>
          <w:szCs w:val="22"/>
          <w:highlight w:val="white"/>
        </w:rPr>
      </w:pPr>
      <w:r>
        <w:rPr>
          <w:rFonts w:ascii="Times New Roman" w:hAnsi="Times New Roman"/>
          <w:color w:val="000000" w:themeColor="text1"/>
          <w:sz w:val="22"/>
          <w:szCs w:val="22"/>
          <w:highlight w:val="white"/>
        </w:rPr>
        <w:t xml:space="preserve">ЛСР (ЛС) разрабатываются отдельно на исключаемые и дополнительные объемы работ. К сме</w:t>
      </w:r>
      <w:r>
        <w:rPr>
          <w:rFonts w:ascii="Times New Roman" w:hAnsi="Times New Roman"/>
          <w:color w:val="000000" w:themeColor="text1"/>
          <w:sz w:val="22"/>
          <w:szCs w:val="22"/>
          <w:highlight w:val="white"/>
        </w:rPr>
        <w:t xml:space="preserve">тной документации дополнительно прилагаются и являются ее неотъемлемой частью сопоставительные ведомости изменения сметной стоимости и сопоставительные ведомости изменения объемов работ, подготовленные в соответствии с Образцом по Приложениям №№ 1.3 и 1.4 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к Требования к оформлению и составлению документации по ценообразованию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. </w:t>
      </w:r>
      <w:r>
        <w:rPr>
          <w:rFonts w:ascii="Times New Roman" w:hAnsi="Times New Roman"/>
          <w:color w:val="000000" w:themeColor="text1"/>
          <w:sz w:val="22"/>
          <w:szCs w:val="22"/>
          <w:highlight w:val="white"/>
        </w:rPr>
      </w:r>
      <w:r>
        <w:rPr>
          <w:rFonts w:ascii="Times New Roman" w:hAnsi="Times New Roman"/>
          <w:color w:val="000000" w:themeColor="text1"/>
          <w:sz w:val="22"/>
          <w:szCs w:val="22"/>
          <w:highlight w:val="white"/>
        </w:rPr>
      </w:r>
    </w:p>
    <w:p>
      <w:pPr>
        <w:pStyle w:val="1015"/>
        <w:numPr>
          <w:ilvl w:val="0"/>
          <w:numId w:val="6"/>
        </w:numPr>
        <w:ind w:left="0" w:firstLine="709"/>
        <w:jc w:val="both"/>
        <w:widowControl/>
        <w:tabs>
          <w:tab w:val="left" w:pos="284" w:leader="none"/>
          <w:tab w:val="clear" w:pos="708" w:leader="none"/>
          <w:tab w:val="left" w:pos="993" w:leader="none"/>
        </w:tabs>
        <w:rPr>
          <w:rFonts w:ascii="Times New Roman" w:hAnsi="Times New Roman"/>
          <w:color w:val="000000" w:themeColor="text1"/>
          <w:sz w:val="22"/>
          <w:szCs w:val="22"/>
          <w:highlight w:val="white"/>
        </w:rPr>
      </w:pPr>
      <w:r>
        <w:rPr>
          <w:rFonts w:ascii="Times New Roman" w:hAnsi="Times New Roman"/>
          <w:color w:val="000000" w:themeColor="text1"/>
          <w:sz w:val="22"/>
          <w:szCs w:val="22"/>
          <w:highlight w:val="white"/>
        </w:rPr>
        <w:t xml:space="preserve">ЛС являются приложениями к ССР. Нумерация приложений указывается по мере включения ЛС в ССР в накопительной форме - по порядку.</w:t>
      </w:r>
      <w:r>
        <w:rPr>
          <w:rFonts w:ascii="Times New Roman" w:hAnsi="Times New Roman"/>
          <w:color w:val="000000" w:themeColor="text1"/>
          <w:sz w:val="22"/>
          <w:szCs w:val="22"/>
          <w:highlight w:val="white"/>
        </w:rPr>
      </w:r>
      <w:r>
        <w:rPr>
          <w:rFonts w:ascii="Times New Roman" w:hAnsi="Times New Roman"/>
          <w:color w:val="000000" w:themeColor="text1"/>
          <w:sz w:val="22"/>
          <w:szCs w:val="22"/>
          <w:highlight w:val="white"/>
        </w:rPr>
      </w:r>
    </w:p>
    <w:p>
      <w:pPr>
        <w:pStyle w:val="1015"/>
        <w:numPr>
          <w:ilvl w:val="0"/>
          <w:numId w:val="6"/>
        </w:numPr>
        <w:ind w:left="0" w:firstLine="709"/>
        <w:jc w:val="both"/>
        <w:widowControl/>
        <w:tabs>
          <w:tab w:val="left" w:pos="284" w:leader="none"/>
          <w:tab w:val="clear" w:pos="708" w:leader="none"/>
          <w:tab w:val="left" w:pos="993" w:leader="none"/>
        </w:tabs>
        <w:rPr>
          <w:rFonts w:ascii="Times New Roman" w:hAnsi="Times New Roman"/>
          <w:color w:val="000000" w:themeColor="text1"/>
          <w:sz w:val="22"/>
          <w:szCs w:val="22"/>
          <w:highlight w:val="white"/>
        </w:rPr>
      </w:pPr>
      <w:r>
        <w:rPr>
          <w:rFonts w:ascii="Times New Roman" w:hAnsi="Times New Roman"/>
          <w:color w:val="000000" w:themeColor="text1"/>
          <w:sz w:val="22"/>
          <w:szCs w:val="22"/>
          <w:highlight w:val="white"/>
        </w:rPr>
        <w:t xml:space="preserve">Разнесение затрат (сумм ЛС) по графам и главам ССР осуществлять в соответствии с указаниями Методики определения сметной стоимости строительства.</w:t>
      </w:r>
      <w:r>
        <w:rPr>
          <w:rFonts w:ascii="Times New Roman" w:hAnsi="Times New Roman"/>
          <w:color w:val="000000" w:themeColor="text1"/>
          <w:sz w:val="22"/>
          <w:szCs w:val="22"/>
          <w:highlight w:val="white"/>
        </w:rPr>
      </w:r>
      <w:r>
        <w:rPr>
          <w:rFonts w:ascii="Times New Roman" w:hAnsi="Times New Roman"/>
          <w:color w:val="000000" w:themeColor="text1"/>
          <w:sz w:val="22"/>
          <w:szCs w:val="22"/>
          <w:highlight w:val="white"/>
        </w:rPr>
      </w:r>
    </w:p>
    <w:p>
      <w:pPr>
        <w:pStyle w:val="1015"/>
        <w:numPr>
          <w:ilvl w:val="0"/>
          <w:numId w:val="6"/>
        </w:numPr>
        <w:ind w:left="0" w:firstLine="709"/>
        <w:jc w:val="both"/>
        <w:widowControl/>
        <w:tabs>
          <w:tab w:val="left" w:pos="284" w:leader="none"/>
          <w:tab w:val="clear" w:pos="708" w:leader="none"/>
          <w:tab w:val="left" w:pos="993" w:leader="none"/>
        </w:tabs>
        <w:rPr>
          <w:rFonts w:ascii="Times New Roman" w:hAnsi="Times New Roman"/>
          <w:color w:val="000000" w:themeColor="text1"/>
          <w:sz w:val="22"/>
          <w:szCs w:val="22"/>
          <w:highlight w:val="white"/>
        </w:rPr>
      </w:pPr>
      <w:r>
        <w:rPr>
          <w:rFonts w:ascii="Times New Roman" w:hAnsi="Times New Roman"/>
          <w:color w:val="000000" w:themeColor="text1"/>
          <w:sz w:val="22"/>
          <w:szCs w:val="22"/>
          <w:highlight w:val="white"/>
        </w:rPr>
        <w:t xml:space="preserve">В ССР, построчные и итоговые суммы 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указывать </w:t>
      </w:r>
      <w:r>
        <w:rPr>
          <w:rFonts w:ascii="Times New Roman" w:hAnsi="Times New Roman"/>
          <w:color w:val="000000" w:themeColor="text1"/>
          <w:sz w:val="22"/>
          <w:szCs w:val="22"/>
          <w:highlight w:val="white"/>
        </w:rPr>
        <w:t xml:space="preserve">в рублях с округлением до двух знаков после запятой. Величину НДС не указывать.</w:t>
      </w:r>
      <w:r>
        <w:rPr>
          <w:rFonts w:ascii="Times New Roman" w:hAnsi="Times New Roman"/>
          <w:color w:val="000000" w:themeColor="text1"/>
          <w:sz w:val="22"/>
          <w:szCs w:val="22"/>
          <w:highlight w:val="white"/>
        </w:rPr>
      </w:r>
      <w:r>
        <w:rPr>
          <w:rFonts w:ascii="Times New Roman" w:hAnsi="Times New Roman"/>
          <w:color w:val="000000" w:themeColor="text1"/>
          <w:sz w:val="22"/>
          <w:szCs w:val="22"/>
          <w:highlight w:val="white"/>
        </w:rPr>
      </w:r>
    </w:p>
    <w:p>
      <w:pPr>
        <w:pStyle w:val="1015"/>
        <w:numPr>
          <w:ilvl w:val="0"/>
          <w:numId w:val="6"/>
        </w:numPr>
        <w:ind w:left="0" w:firstLine="709"/>
        <w:jc w:val="both"/>
        <w:widowControl/>
        <w:tabs>
          <w:tab w:val="left" w:pos="284" w:leader="none"/>
          <w:tab w:val="clear" w:pos="708" w:leader="none"/>
          <w:tab w:val="left" w:pos="993" w:leader="none"/>
        </w:tabs>
        <w:rPr>
          <w:rFonts w:ascii="Times New Roman" w:hAnsi="Times New Roman"/>
          <w:color w:val="000000" w:themeColor="text1"/>
          <w:sz w:val="22"/>
          <w:szCs w:val="22"/>
          <w:highlight w:val="white"/>
        </w:rPr>
      </w:pPr>
      <w:r>
        <w:rPr>
          <w:rFonts w:ascii="Times New Roman" w:hAnsi="Times New Roman"/>
          <w:color w:val="000000" w:themeColor="text1"/>
          <w:sz w:val="22"/>
          <w:szCs w:val="22"/>
          <w:highlight w:val="white"/>
        </w:rPr>
        <w:t xml:space="preserve">В случае выполнения Подрядчиком полного комплекса пусконаладочных работ («вхолостую» и «под нагрузкой») сумму затрат на выполнение пусконаладочных работ «под нагрузкой» включать </w:t>
      </w:r>
      <w:r>
        <w:rPr>
          <w:rFonts w:ascii="Times New Roman" w:hAnsi="Times New Roman"/>
          <w:color w:val="000000" w:themeColor="text1"/>
          <w:sz w:val="22"/>
          <w:szCs w:val="22"/>
          <w:highlight w:val="white"/>
        </w:rPr>
        <w:t xml:space="preserve">за итогом ССР. Таким образом, общая стоимость работ по договору (дополнительному соглашению) будет включать в себя все затраты Подрядчика в рамках конкретного договора, включая пусконаладочные работы «под нагрузкой» (для работ, выполняемых в рамках ТПиР). </w:t>
      </w:r>
      <w:r>
        <w:rPr>
          <w:rFonts w:ascii="Times New Roman" w:hAnsi="Times New Roman"/>
          <w:color w:val="000000" w:themeColor="text1"/>
          <w:sz w:val="22"/>
          <w:szCs w:val="22"/>
          <w:highlight w:val="white"/>
        </w:rPr>
      </w:r>
      <w:r>
        <w:rPr>
          <w:rFonts w:ascii="Times New Roman" w:hAnsi="Times New Roman"/>
          <w:color w:val="000000" w:themeColor="text1"/>
          <w:sz w:val="22"/>
          <w:szCs w:val="22"/>
          <w:highlight w:val="white"/>
        </w:rPr>
      </w:r>
    </w:p>
    <w:p>
      <w:pPr>
        <w:pStyle w:val="1015"/>
        <w:numPr>
          <w:ilvl w:val="0"/>
          <w:numId w:val="6"/>
        </w:numPr>
        <w:ind w:left="0" w:firstLine="709"/>
        <w:jc w:val="both"/>
        <w:widowControl/>
        <w:tabs>
          <w:tab w:val="left" w:pos="284" w:leader="none"/>
          <w:tab w:val="clear" w:pos="708" w:leader="none"/>
          <w:tab w:val="left" w:pos="993" w:leader="none"/>
        </w:tabs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Сметная документация должна быть представлена в двух вариантах: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pStyle w:val="1015"/>
        <w:numPr>
          <w:ilvl w:val="0"/>
          <w:numId w:val="9"/>
        </w:numPr>
        <w:ind w:left="0" w:right="0" w:firstLine="567"/>
        <w:jc w:val="both"/>
        <w:spacing w:before="40" w:after="40"/>
        <w:tabs>
          <w:tab w:val="clear" w:pos="708" w:leader="none"/>
          <w:tab w:val="left" w:pos="709" w:leader="none"/>
          <w:tab w:val="left" w:pos="851" w:leader="none"/>
          <w:tab w:val="left" w:pos="1134" w:leader="none"/>
        </w:tabs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на бумажном носи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теле (количество указано в конкурсной документации) Образец ЛСР в соответствии с 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приложением № 1.5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 к Требования к оформлению и составлению документации по ценообразованию;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</w:p>
    <w:p>
      <w:pPr>
        <w:pStyle w:val="1015"/>
        <w:numPr>
          <w:ilvl w:val="0"/>
          <w:numId w:val="9"/>
        </w:numPr>
        <w:ind w:left="0" w:right="0" w:firstLine="567"/>
        <w:jc w:val="both"/>
        <w:spacing w:before="40" w:after="40"/>
        <w:tabs>
          <w:tab w:val="clear" w:pos="708" w:leader="none"/>
          <w:tab w:val="left" w:pos="709" w:leader="none"/>
          <w:tab w:val="left" w:pos="851" w:leader="none"/>
          <w:tab w:val="left" w:pos="1134" w:leader="none"/>
        </w:tabs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на электронном носителе 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(в формате «xml» ПК «Гранд-Смета», «Excel», «pdf»), полностью соответствующему, бумажному варианту. Сметная документация в формате «Excel» должна быть представлена в одном файле с внесением ССР, ЛСР и других расчетов на отдельные листы (вкладки) документа.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</w:p>
    <w:p>
      <w:pPr>
        <w:pStyle w:val="1015"/>
        <w:numPr>
          <w:ilvl w:val="0"/>
          <w:numId w:val="9"/>
        </w:numPr>
        <w:ind w:left="0" w:right="0" w:firstLine="567"/>
        <w:jc w:val="both"/>
        <w:spacing w:before="40" w:after="40"/>
        <w:tabs>
          <w:tab w:val="clear" w:pos="708" w:leader="none"/>
          <w:tab w:val="left" w:pos="709" w:leader="none"/>
          <w:tab w:val="left" w:pos="851" w:leader="none"/>
          <w:tab w:val="left" w:pos="1134" w:leader="none"/>
        </w:tabs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в формате ПК «Гранд-смета» выходная форма для печати указана ниже: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</w:p>
    <w:p>
      <w:pPr>
        <w:pStyle w:val="887"/>
        <w:ind w:left="0" w:right="0" w:firstLine="0"/>
        <w:rPr>
          <w:color w:val="000000" w:themeColor="text1"/>
          <w:sz w:val="20"/>
          <w:szCs w:val="20"/>
          <w:highlight w:val="white"/>
        </w:rPr>
        <w:sectPr>
          <w:footnotePr/>
          <w:endnotePr/>
          <w:type w:val="nextPage"/>
          <w:pgSz w:w="11906" w:h="16838" w:orient="portrait"/>
          <w:pgMar w:top="851" w:right="567" w:bottom="425" w:left="1276" w:header="0" w:footer="0" w:gutter="0"/>
          <w:cols w:num="1" w:sep="0" w:space="1701" w:equalWidth="1"/>
          <w:docGrid w:linePitch="360"/>
        </w:sectPr>
      </w:pPr>
      <w:r>
        <w:rPr>
          <w:color w:val="000000" w:themeColor="text1"/>
          <w:highlight w:val="white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2505" cy="4377690"/>
                <wp:effectExtent l="0" t="0" r="0" b="0"/>
                <wp:docPr id="2" name="Изображение1" descr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Изображение1" descr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3"/>
                        <a:stretch/>
                      </pic:blipFill>
                      <pic:spPr bwMode="auto">
                        <a:xfrm>
                          <a:off x="0" y="0"/>
                          <a:ext cx="4802505" cy="437769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width:378.15pt;height:344.70pt;mso-wrap-distance-left:0.00pt;mso-wrap-distance-top:0.00pt;mso-wrap-distance-right:0.00pt;mso-wrap-distance-bottom:0.00pt;" stroked="false">
                <v:path textboxrect="0,0,0,0"/>
                <v:imagedata r:id="rId13" o:title=""/>
              </v:shape>
            </w:pict>
          </mc:Fallback>
        </mc:AlternateContent>
      </w:r>
      <w:r>
        <w:rPr>
          <w:color w:val="000000" w:themeColor="text1"/>
          <w:sz w:val="20"/>
          <w:szCs w:val="20"/>
          <w:highlight w:val="white"/>
        </w:rPr>
      </w:r>
      <w:r>
        <w:rPr>
          <w:color w:val="000000" w:themeColor="text1"/>
          <w:sz w:val="20"/>
          <w:szCs w:val="20"/>
          <w:highlight w:val="white"/>
        </w:rPr>
      </w:r>
    </w:p>
    <w:p>
      <w:pPr>
        <w:pStyle w:val="1004"/>
        <w:ind w:left="928" w:right="666"/>
        <w:jc w:val="right"/>
        <w:rPr>
          <w:color w:val="000000" w:themeColor="text1"/>
          <w:sz w:val="18"/>
          <w:szCs w:val="18"/>
          <w:highlight w:val="white"/>
        </w:rPr>
      </w:pPr>
      <w:r>
        <w:rPr>
          <w:color w:val="000000" w:themeColor="text1"/>
          <w:sz w:val="18"/>
          <w:szCs w:val="18"/>
          <w:highlight w:val="white"/>
        </w:rPr>
        <w:t xml:space="preserve">Приложение №1.1 </w:t>
      </w:r>
      <w:r>
        <w:rPr>
          <w:color w:val="000000" w:themeColor="text1"/>
          <w:sz w:val="18"/>
          <w:szCs w:val="18"/>
          <w:highlight w:val="white"/>
        </w:rPr>
      </w:r>
      <w:r>
        <w:rPr>
          <w:color w:val="000000" w:themeColor="text1"/>
          <w:sz w:val="18"/>
          <w:szCs w:val="18"/>
          <w:highlight w:val="white"/>
        </w:rPr>
      </w:r>
    </w:p>
    <w:p>
      <w:pPr>
        <w:pStyle w:val="1015"/>
        <w:ind w:left="928" w:right="666" w:firstLine="0"/>
        <w:jc w:val="right"/>
        <w:rPr>
          <w:rFonts w:ascii="Times New Roman" w:hAnsi="Times New Roman"/>
          <w:color w:val="000000" w:themeColor="text1"/>
          <w:sz w:val="18"/>
          <w:szCs w:val="1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к Требования к оформлению и составлению документации по ценообразованию</w:t>
      </w:r>
      <w:r>
        <w:rPr>
          <w:rFonts w:ascii="Times New Roman" w:hAnsi="Times New Roman"/>
          <w:color w:val="000000" w:themeColor="text1"/>
          <w:sz w:val="18"/>
          <w:szCs w:val="18"/>
          <w:highlight w:val="white"/>
        </w:rPr>
        <w:t xml:space="preserve"> </w:t>
      </w:r>
      <w:r>
        <w:rPr>
          <w:rFonts w:ascii="Times New Roman" w:hAnsi="Times New Roman"/>
          <w:color w:val="000000" w:themeColor="text1"/>
          <w:sz w:val="18"/>
          <w:szCs w:val="18"/>
          <w:highlight w:val="white"/>
        </w:rPr>
      </w:r>
      <w:r>
        <w:rPr>
          <w:rFonts w:ascii="Times New Roman" w:hAnsi="Times New Roman"/>
          <w:color w:val="000000" w:themeColor="text1"/>
          <w:sz w:val="18"/>
          <w:szCs w:val="18"/>
          <w:highlight w:val="white"/>
        </w:rPr>
      </w:r>
    </w:p>
    <w:tbl>
      <w:tblPr>
        <w:tblW w:w="15834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238"/>
        <w:gridCol w:w="73"/>
        <w:gridCol w:w="1635"/>
        <w:gridCol w:w="583"/>
        <w:gridCol w:w="2842"/>
        <w:gridCol w:w="105"/>
        <w:gridCol w:w="12"/>
        <w:gridCol w:w="1525"/>
        <w:gridCol w:w="130"/>
        <w:gridCol w:w="14"/>
        <w:gridCol w:w="1677"/>
        <w:gridCol w:w="68"/>
        <w:gridCol w:w="14"/>
        <w:gridCol w:w="1840"/>
        <w:gridCol w:w="11"/>
        <w:gridCol w:w="35"/>
        <w:gridCol w:w="1930"/>
        <w:gridCol w:w="15"/>
        <w:gridCol w:w="293"/>
        <w:gridCol w:w="1667"/>
        <w:gridCol w:w="9"/>
        <w:gridCol w:w="116"/>
      </w:tblGrid>
      <w:tr>
        <w:tblPrEx/>
        <w:trPr>
          <w:trHeight w:val="312"/>
        </w:trPr>
        <w:tc>
          <w:tcPr>
            <w:gridSpan w:val="4"/>
            <w:shd w:val="clear" w:color="ffffff" w:fill="ffffff"/>
            <w:tcW w:w="3529" w:type="dxa"/>
            <w:vAlign w:val="center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b/>
                <w:color w:val="000000" w:themeColor="text1"/>
                <w:sz w:val="18"/>
                <w:szCs w:val="18"/>
                <w:highlight w:val="white"/>
              </w:rPr>
              <w:t xml:space="preserve">ОБРАЗЕЦ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W w:w="2947" w:type="dxa"/>
            <w:vAlign w:val="center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W w:w="1667" w:type="dxa"/>
            <w:vAlign w:val="center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W w:w="1759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W w:w="1854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6"/>
            <w:shd w:val="clear" w:color="ffffff" w:fill="ffffff"/>
            <w:tcW w:w="3951" w:type="dxa"/>
            <w:vAlign w:val="center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Приложение __ от ______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к Договору № _________ от ______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W w:w="9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  <w:tc>
          <w:tcPr>
            <w:tcW w:w="116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</w:tr>
      <w:tr>
        <w:tblPrEx/>
        <w:trPr>
          <w:trHeight w:val="312"/>
        </w:trPr>
        <w:tc>
          <w:tcPr>
            <w:gridSpan w:val="4"/>
            <w:shd w:val="clear" w:color="ffffff" w:fill="ffffff"/>
            <w:tcW w:w="3529" w:type="dxa"/>
            <w:vAlign w:val="center"/>
            <w:textDirection w:val="lrTb"/>
            <w:noWrap w:val="false"/>
          </w:tcPr>
          <w:p>
            <w:pPr>
              <w:pStyle w:val="887"/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</w:p>
          <w:p>
            <w:pPr>
              <w:pStyle w:val="887"/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  <w:t xml:space="preserve">СОГЛАСОВАНО:</w:t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W w:w="2947" w:type="dxa"/>
            <w:vAlign w:val="center"/>
            <w:textDirection w:val="lrTb"/>
            <w:noWrap w:val="false"/>
          </w:tcPr>
          <w:p>
            <w:pPr>
              <w:pStyle w:val="887"/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W w:w="1667" w:type="dxa"/>
            <w:vAlign w:val="center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W w:w="1759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8"/>
            <w:shd w:val="clear" w:color="ffffff" w:fill="ffffff"/>
            <w:tcW w:w="5805" w:type="dxa"/>
            <w:vAlign w:val="center"/>
            <w:textDirection w:val="lrTb"/>
            <w:noWrap w:val="false"/>
          </w:tcPr>
          <w:p>
            <w:pPr>
              <w:pStyle w:val="887"/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</w:p>
          <w:p>
            <w:pPr>
              <w:pStyle w:val="887"/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  <w:t xml:space="preserve">УТВЕРЖДАЮ:</w:t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W w:w="9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  <w:tc>
          <w:tcPr>
            <w:tcW w:w="116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</w:tr>
      <w:tr>
        <w:tblPrEx/>
        <w:trPr>
          <w:trHeight w:val="312"/>
        </w:trPr>
        <w:tc>
          <w:tcPr>
            <w:gridSpan w:val="4"/>
            <w:shd w:val="clear" w:color="ffffff" w:fill="ffffff"/>
            <w:tcW w:w="3529" w:type="dxa"/>
            <w:vAlign w:val="center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___________________ФИО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W w:w="2947" w:type="dxa"/>
            <w:vAlign w:val="center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W w:w="1667" w:type="dxa"/>
            <w:vAlign w:val="center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W w:w="1759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8"/>
            <w:shd w:val="clear" w:color="ffffff" w:fill="ffffff"/>
            <w:tcW w:w="5805" w:type="dxa"/>
            <w:vAlign w:val="center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___________________ФИО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W w:w="9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  <w:tc>
          <w:tcPr>
            <w:tcW w:w="116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</w:tr>
      <w:tr>
        <w:tblPrEx/>
        <w:trPr>
          <w:trHeight w:val="312"/>
        </w:trPr>
        <w:tc>
          <w:tcPr>
            <w:gridSpan w:val="7"/>
            <w:shd w:val="clear" w:color="ffffff" w:fill="ffffff"/>
            <w:tcW w:w="6488" w:type="dxa"/>
            <w:vAlign w:val="center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"_______" _____________ 20___ г.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W w:w="1669" w:type="dxa"/>
            <w:vAlign w:val="center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W w:w="1759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8"/>
            <w:shd w:val="clear" w:color="ffffff" w:fill="ffffff"/>
            <w:tcW w:w="5800" w:type="dxa"/>
            <w:vAlign w:val="center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"______" ____________________ 20__ г.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W w:w="116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</w:tr>
      <w:tr>
        <w:tblPrEx/>
        <w:trPr>
          <w:trHeight w:val="365"/>
        </w:trPr>
        <w:tc>
          <w:tcPr>
            <w:shd w:val="clear" w:color="ffffff" w:fill="ffffff"/>
            <w:tcW w:w="1238" w:type="dxa"/>
            <w:vAlign w:val="center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W w:w="2291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W w:w="2947" w:type="dxa"/>
            <w:vAlign w:val="center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11"/>
            <w:shd w:val="clear" w:color="ffffff" w:fill="ffffff"/>
            <w:tcW w:w="7256" w:type="dxa"/>
            <w:vAlign w:val="center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Сводный сметный расчет в сумме:______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W w:w="1975" w:type="dxa"/>
            <w:vAlign w:val="center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руб. без НДС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W w:w="9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  <w:tc>
          <w:tcPr>
            <w:tcW w:w="116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</w:tr>
      <w:tr>
        <w:tblPrEx/>
        <w:trPr>
          <w:trHeight w:val="144"/>
        </w:trPr>
        <w:tc>
          <w:tcPr>
            <w:shd w:val="clear" w:color="ffffff" w:fill="ffffff"/>
            <w:tcW w:w="1238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W w:w="2291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W w:w="2947" w:type="dxa"/>
            <w:vAlign w:val="center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8"/>
            <w:shd w:val="clear" w:color="ffffff" w:fill="ffffff"/>
            <w:tcW w:w="5280" w:type="dxa"/>
            <w:vAlign w:val="center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  <w:t xml:space="preserve">СВОДНЫЙ СМЕТНЫЙ РАСЧЕТ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W w:w="1976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W w:w="1975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W w:w="9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  <w:tc>
          <w:tcPr>
            <w:tcW w:w="116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</w:tr>
      <w:tr>
        <w:tblPrEx/>
        <w:trPr>
          <w:trHeight w:val="108"/>
        </w:trPr>
        <w:tc>
          <w:tcPr>
            <w:shd w:val="clear" w:color="ffffff" w:fill="ffffff"/>
            <w:tcW w:w="1238" w:type="dxa"/>
            <w:vAlign w:val="bottom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W w:w="2291" w:type="dxa"/>
            <w:vAlign w:val="bottom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13"/>
            <w:shd w:val="clear" w:color="ffffff" w:fill="ffffff"/>
            <w:tcBorders>
              <w:bottom w:val="single" w:color="000000" w:sz="4" w:space="0"/>
            </w:tcBorders>
            <w:tcW w:w="10203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W w:w="1975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W w:w="9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  <w:tc>
          <w:tcPr>
            <w:tcW w:w="116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</w:tr>
      <w:tr>
        <w:tblPrEx/>
        <w:trPr>
          <w:trHeight w:val="312"/>
        </w:trPr>
        <w:tc>
          <w:tcPr>
            <w:shd w:val="clear" w:color="ffffff" w:fill="ffffff"/>
            <w:tcW w:w="1238" w:type="dxa"/>
            <w:vAlign w:val="bottom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W w:w="2291" w:type="dxa"/>
            <w:vAlign w:val="bottom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W w:w="2947" w:type="dxa"/>
            <w:vAlign w:val="bottom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8"/>
            <w:shd w:val="clear" w:color="ffffff" w:fill="ffffff"/>
            <w:tcW w:w="5280" w:type="dxa"/>
            <w:vAlign w:val="center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  <w:t xml:space="preserve">(наименование стройки)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W w:w="1976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W w:w="1975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W w:w="9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  <w:tc>
          <w:tcPr>
            <w:tcW w:w="116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</w:tr>
      <w:tr>
        <w:tblPrEx/>
        <w:trPr>
          <w:trHeight w:val="312"/>
        </w:trPr>
        <w:tc>
          <w:tcPr>
            <w:shd w:val="clear" w:color="ffffff" w:fill="ffffff"/>
            <w:tcW w:w="1238" w:type="dxa"/>
            <w:vAlign w:val="bottom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12"/>
            <w:shd w:val="clear" w:color="ffffff" w:fill="ffffff"/>
            <w:tcW w:w="8678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Составлен в ценах, соответствующих периоду выполнения работ по договору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W w:w="1851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W w:w="1980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W w:w="1969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W w:w="116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</w:tr>
      <w:tr>
        <w:tblPrEx/>
        <w:trPr>
          <w:trHeight w:val="255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38" w:type="dxa"/>
            <w:vAlign w:val="center"/>
            <w:vMerge w:val="restart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№ 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пп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91" w:type="dxa"/>
            <w:vAlign w:val="center"/>
            <w:vMerge w:val="restart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Номера сметных расчетов и смет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47" w:type="dxa"/>
            <w:vAlign w:val="center"/>
            <w:vMerge w:val="restart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Наименование глав, объектов, работ и затрат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11"/>
            <w:shd w:val="clear" w:color="ffffff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256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Сметная стоимость, руб.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75" w:type="dxa"/>
            <w:vAlign w:val="center"/>
            <w:vMerge w:val="restart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Общая сметная стоимость, руб.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W w:w="9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  <w:tc>
          <w:tcPr>
            <w:tcW w:w="116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</w:tr>
      <w:tr>
        <w:tblPrEx/>
        <w:trPr>
          <w:trHeight w:val="32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38" w:type="dxa"/>
            <w:vAlign w:val="center"/>
            <w:vMerge w:val="continue"/>
            <w:textDirection w:val="lrTb"/>
            <w:noWrap w:val="false"/>
          </w:tcPr>
          <w:p>
            <w:pPr>
              <w:pStyle w:val="88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91" w:type="dxa"/>
            <w:vAlign w:val="center"/>
            <w:vMerge w:val="continue"/>
            <w:textDirection w:val="lrTb"/>
            <w:noWrap w:val="false"/>
          </w:tcPr>
          <w:p>
            <w:pPr>
              <w:pStyle w:val="88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47" w:type="dxa"/>
            <w:vAlign w:val="center"/>
            <w:vMerge w:val="continue"/>
            <w:textDirection w:val="lrTb"/>
            <w:noWrap w:val="false"/>
          </w:tcPr>
          <w:p>
            <w:pPr>
              <w:pStyle w:val="88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67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строительных работ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9" w:type="dxa"/>
            <w:vAlign w:val="center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монтажных работ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54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оборудования, мебели, инвентаря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76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прочих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75" w:type="dxa"/>
            <w:vAlign w:val="center"/>
            <w:vMerge w:val="continue"/>
            <w:textDirection w:val="lrTb"/>
            <w:noWrap w:val="false"/>
          </w:tcPr>
          <w:p>
            <w:pPr>
              <w:pStyle w:val="88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9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  <w:tc>
          <w:tcPr>
            <w:tcW w:w="116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</w:tr>
      <w:tr>
        <w:tblPrEx/>
        <w:trPr>
          <w:trHeight w:val="312"/>
        </w:trPr>
        <w:tc>
          <w:tcPr>
            <w:shd w:val="clear" w:color="ffffff" w:fill="ffffff"/>
            <w:tcBorders>
              <w:left w:val="single" w:color="000000" w:sz="4" w:space="0"/>
              <w:right w:val="single" w:color="000000" w:sz="4" w:space="0"/>
            </w:tcBorders>
            <w:tcW w:w="1238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1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right w:val="single" w:color="000000" w:sz="4" w:space="0"/>
            </w:tcBorders>
            <w:tcW w:w="2291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2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right w:val="single" w:color="000000" w:sz="4" w:space="0"/>
            </w:tcBorders>
            <w:tcW w:w="2947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3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right w:val="single" w:color="000000" w:sz="4" w:space="0"/>
            </w:tcBorders>
            <w:tcW w:w="1667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4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right w:val="single" w:color="000000" w:sz="4" w:space="0"/>
            </w:tcBorders>
            <w:tcW w:w="1759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5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right w:val="single" w:color="000000" w:sz="4" w:space="0"/>
            </w:tcBorders>
            <w:tcW w:w="1854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6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right w:val="single" w:color="000000" w:sz="4" w:space="0"/>
            </w:tcBorders>
            <w:tcW w:w="1976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7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right w:val="single" w:color="000000" w:sz="4" w:space="0"/>
            </w:tcBorders>
            <w:tcW w:w="1975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8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W w:w="9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  <w:tc>
          <w:tcPr>
            <w:tcW w:w="116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</w:tr>
      <w:tr>
        <w:tblPrEx/>
        <w:trPr>
          <w:trHeight w:val="312"/>
        </w:trPr>
        <w:tc>
          <w:tcPr>
            <w:gridSpan w:val="21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716" w:type="dxa"/>
            <w:textDirection w:val="lrTb"/>
            <w:noWrap w:val="false"/>
          </w:tcPr>
          <w:p>
            <w:pPr>
              <w:pStyle w:val="887"/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  <w:t xml:space="preserve">Глава 2. Основные объекты строительства</w:t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W w:w="116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</w:tr>
      <w:tr>
        <w:tblPrEx/>
        <w:trPr>
          <w:trHeight w:val="312"/>
        </w:trPr>
        <w:tc>
          <w:tcPr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38" w:type="dxa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1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2291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02-01-01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2947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 …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667" w:type="dxa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759" w:type="dxa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854" w:type="dxa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976" w:type="dxa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1975" w:type="dxa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W w:w="9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  <w:tc>
          <w:tcPr>
            <w:tcW w:w="116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</w:tr>
      <w:tr>
        <w:tblPrEx/>
        <w:trPr>
          <w:trHeight w:val="420"/>
        </w:trPr>
        <w:tc>
          <w:tcPr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38" w:type="dxa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6"/>
            <w:shd w:val="clear" w:color="ffffff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5250" w:type="dxa"/>
            <w:textDirection w:val="lrTb"/>
            <w:noWrap w:val="false"/>
          </w:tcPr>
          <w:p>
            <w:pPr>
              <w:pStyle w:val="887"/>
              <w:jc w:val="right"/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  <w:t xml:space="preserve">Итого по Главе 2. "Основные объекты строительства"</w:t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669" w:type="dxa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759" w:type="dxa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851" w:type="dxa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980" w:type="dxa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969" w:type="dxa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W w:w="116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</w:tr>
      <w:tr>
        <w:tblPrEx/>
        <w:trPr>
          <w:trHeight w:val="312"/>
        </w:trPr>
        <w:tc>
          <w:tcPr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38" w:type="dxa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6"/>
            <w:shd w:val="clear" w:color="ffffff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5250" w:type="dxa"/>
            <w:textDirection w:val="lrTb"/>
            <w:noWrap w:val="false"/>
          </w:tcPr>
          <w:p>
            <w:pPr>
              <w:pStyle w:val="887"/>
              <w:jc w:val="right"/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  <w:t xml:space="preserve">Итого по Главам 1-12</w:t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669" w:type="dxa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759" w:type="dxa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851" w:type="dxa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980" w:type="dxa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969" w:type="dxa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W w:w="116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</w:tr>
      <w:tr>
        <w:tblPrEx/>
        <w:trPr>
          <w:trHeight w:val="312"/>
        </w:trPr>
        <w:tc>
          <w:tcPr>
            <w:gridSpan w:val="21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716" w:type="dxa"/>
            <w:textDirection w:val="lrTb"/>
            <w:noWrap w:val="false"/>
          </w:tcPr>
          <w:p>
            <w:pPr>
              <w:pStyle w:val="887"/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  <w:t xml:space="preserve">Непредвиденные затраты</w:t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W w:w="116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</w:tr>
      <w:tr>
        <w:tblPrEx/>
        <w:trPr>
          <w:trHeight w:val="312"/>
        </w:trPr>
        <w:tc>
          <w:tcPr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38" w:type="dxa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2291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2947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667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759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854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976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1975" w:type="dxa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W w:w="9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  <w:tc>
          <w:tcPr>
            <w:tcW w:w="116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</w:tr>
      <w:tr>
        <w:tblPrEx/>
        <w:trPr>
          <w:trHeight w:val="312"/>
        </w:trPr>
        <w:tc>
          <w:tcPr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38" w:type="dxa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6"/>
            <w:shd w:val="clear" w:color="ffffff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5250" w:type="dxa"/>
            <w:textDirection w:val="lrTb"/>
            <w:noWrap w:val="false"/>
          </w:tcPr>
          <w:p>
            <w:pPr>
              <w:pStyle w:val="887"/>
              <w:jc w:val="right"/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  <w:t xml:space="preserve">Итого с учетом "Непредвиденные затраты"</w:t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669" w:type="dxa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759" w:type="dxa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851" w:type="dxa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980" w:type="dxa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969" w:type="dxa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W w:w="116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</w:tr>
      <w:tr>
        <w:tblPrEx/>
        <w:trPr>
          <w:trHeight w:val="312"/>
        </w:trPr>
        <w:tc>
          <w:tcPr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38" w:type="dxa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6"/>
            <w:shd w:val="clear" w:color="ffffff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5250" w:type="dxa"/>
            <w:textDirection w:val="lrTb"/>
            <w:noWrap w:val="false"/>
          </w:tcPr>
          <w:p>
            <w:pPr>
              <w:pStyle w:val="887"/>
              <w:jc w:val="right"/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  <w:t xml:space="preserve">Итого по сводному расчету</w:t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669" w:type="dxa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759" w:type="dxa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851" w:type="dxa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980" w:type="dxa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969" w:type="dxa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W w:w="116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</w:tr>
      <w:tr>
        <w:tblPrEx/>
        <w:trPr>
          <w:trHeight w:val="375"/>
        </w:trPr>
        <w:tc>
          <w:tcPr>
            <w:gridSpan w:val="2"/>
            <w:shd w:val="clear" w:color="ffffff" w:fill="ffffff"/>
            <w:tcW w:w="1311" w:type="dxa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shd w:val="clear" w:color="ffffff" w:fill="ffffff"/>
            <w:tcW w:w="1635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Составил: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bottom w:val="single" w:color="000000" w:sz="4" w:space="0"/>
            </w:tcBorders>
            <w:tcW w:w="3425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bottom w:val="single" w:color="000000" w:sz="4" w:space="0"/>
            </w:tcBorders>
            <w:tcW w:w="1642" w:type="dxa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bottom w:val="single" w:color="000000" w:sz="4" w:space="0"/>
            </w:tcBorders>
            <w:tcW w:w="1821" w:type="dxa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5"/>
            <w:shd w:val="clear" w:color="ffffff" w:fill="ffffff"/>
            <w:tcBorders>
              <w:bottom w:val="single" w:color="000000" w:sz="4" w:space="0"/>
            </w:tcBorders>
            <w:tcW w:w="1968" w:type="dxa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bottom w:val="single" w:color="000000" w:sz="4" w:space="0"/>
            </w:tcBorders>
            <w:tcW w:w="2238" w:type="dxa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bottom w:val="single" w:color="000000" w:sz="4" w:space="0"/>
            </w:tcBorders>
            <w:tcW w:w="1792" w:type="dxa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</w:tr>
      <w:tr>
        <w:tblPrEx/>
        <w:trPr>
          <w:trHeight w:val="312"/>
        </w:trPr>
        <w:tc>
          <w:tcPr>
            <w:gridSpan w:val="2"/>
            <w:shd w:val="clear" w:color="ffffff" w:fill="ffffff"/>
            <w:tcW w:w="1311" w:type="dxa"/>
            <w:vAlign w:val="bottom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shd w:val="clear" w:color="ffffff" w:fill="ffffff"/>
            <w:tcW w:w="1635" w:type="dxa"/>
            <w:vAlign w:val="bottom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W w:w="3425" w:type="dxa"/>
            <w:textDirection w:val="lrTb"/>
            <w:noWrap w:val="false"/>
          </w:tcPr>
          <w:p>
            <w:pPr>
              <w:pStyle w:val="887"/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11"/>
            <w:shd w:val="clear" w:color="ffffff" w:fill="ffffff"/>
            <w:tcBorders>
              <w:top w:val="single" w:color="000000" w:sz="4" w:space="0"/>
            </w:tcBorders>
            <w:tcW w:w="5431" w:type="dxa"/>
            <w:textDirection w:val="lrTb"/>
            <w:noWrap w:val="false"/>
          </w:tcPr>
          <w:p>
            <w:pPr>
              <w:pStyle w:val="887"/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  <w:t xml:space="preserve">(должность, подпись, расшифровка)</w:t>
            </w: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W w:w="2238" w:type="dxa"/>
            <w:textDirection w:val="lrTb"/>
            <w:noWrap w:val="false"/>
          </w:tcPr>
          <w:p>
            <w:pPr>
              <w:pStyle w:val="887"/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W w:w="1792" w:type="dxa"/>
            <w:textDirection w:val="lrTb"/>
            <w:noWrap w:val="false"/>
          </w:tcPr>
          <w:p>
            <w:pPr>
              <w:pStyle w:val="887"/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</w:p>
        </w:tc>
      </w:tr>
      <w:tr>
        <w:tblPrEx/>
        <w:trPr>
          <w:trHeight w:val="312"/>
        </w:trPr>
        <w:tc>
          <w:tcPr>
            <w:gridSpan w:val="2"/>
            <w:shd w:val="clear" w:color="ffffff" w:fill="ffffff"/>
            <w:tcW w:w="1311" w:type="dxa"/>
            <w:vAlign w:val="bottom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shd w:val="clear" w:color="ffffff" w:fill="ffffff"/>
            <w:tcW w:w="1635" w:type="dxa"/>
            <w:vAlign w:val="bottom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Проверил: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bottom w:val="single" w:color="000000" w:sz="4" w:space="0"/>
            </w:tcBorders>
            <w:tcW w:w="3425" w:type="dxa"/>
            <w:vAlign w:val="bottom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bottom w:val="single" w:color="000000" w:sz="4" w:space="0"/>
            </w:tcBorders>
            <w:tcW w:w="1642" w:type="dxa"/>
            <w:vAlign w:val="bottom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bottom w:val="single" w:color="000000" w:sz="4" w:space="0"/>
            </w:tcBorders>
            <w:tcW w:w="1821" w:type="dxa"/>
            <w:vAlign w:val="bottom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5"/>
            <w:shd w:val="clear" w:color="ffffff" w:fill="ffffff"/>
            <w:tcBorders>
              <w:bottom w:val="single" w:color="000000" w:sz="4" w:space="0"/>
            </w:tcBorders>
            <w:tcW w:w="1968" w:type="dxa"/>
            <w:vAlign w:val="bottom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bottom w:val="single" w:color="000000" w:sz="4" w:space="0"/>
            </w:tcBorders>
            <w:tcW w:w="2238" w:type="dxa"/>
            <w:vAlign w:val="bottom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bottom w:val="single" w:color="000000" w:sz="4" w:space="0"/>
            </w:tcBorders>
            <w:tcW w:w="1792" w:type="dxa"/>
            <w:vAlign w:val="bottom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</w:tr>
      <w:tr>
        <w:tblPrEx/>
        <w:trPr>
          <w:trHeight w:val="312"/>
        </w:trPr>
        <w:tc>
          <w:tcPr>
            <w:gridSpan w:val="2"/>
            <w:shd w:val="clear" w:color="ffffff" w:fill="ffffff"/>
            <w:tcW w:w="1311" w:type="dxa"/>
            <w:vAlign w:val="bottom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shd w:val="clear" w:color="ffffff" w:fill="ffffff"/>
            <w:tcW w:w="1635" w:type="dxa"/>
            <w:vAlign w:val="bottom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W w:w="3425" w:type="dxa"/>
            <w:textDirection w:val="lrTb"/>
            <w:noWrap w:val="false"/>
          </w:tcPr>
          <w:p>
            <w:pPr>
              <w:pStyle w:val="887"/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11"/>
            <w:shd w:val="clear" w:color="ffffff" w:fill="ffffff"/>
            <w:tcBorders>
              <w:top w:val="single" w:color="000000" w:sz="4" w:space="0"/>
            </w:tcBorders>
            <w:tcW w:w="5431" w:type="dxa"/>
            <w:textDirection w:val="lrTb"/>
            <w:noWrap w:val="false"/>
          </w:tcPr>
          <w:p>
            <w:pPr>
              <w:pStyle w:val="887"/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  <w:t xml:space="preserve">(должность, подпись, расшифровка)</w:t>
            </w: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W w:w="2238" w:type="dxa"/>
            <w:textDirection w:val="lrTb"/>
            <w:noWrap w:val="false"/>
          </w:tcPr>
          <w:p>
            <w:pPr>
              <w:pStyle w:val="887"/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W w:w="1792" w:type="dxa"/>
            <w:textDirection w:val="lrTb"/>
            <w:noWrap w:val="false"/>
          </w:tcPr>
          <w:p>
            <w:pPr>
              <w:pStyle w:val="887"/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</w:p>
        </w:tc>
      </w:tr>
    </w:tbl>
    <w:p>
      <w:pPr>
        <w:pStyle w:val="1004"/>
        <w:ind w:left="928"/>
        <w:rPr>
          <w:b/>
          <w:color w:val="000000" w:themeColor="text1"/>
          <w:sz w:val="18"/>
          <w:szCs w:val="18"/>
          <w:highlight w:val="white"/>
        </w:rPr>
        <w:sectPr>
          <w:footnotePr/>
          <w:endnotePr/>
          <w:type w:val="nextPage"/>
          <w:pgSz w:w="16838" w:h="11906" w:orient="landscape"/>
          <w:pgMar w:top="1276" w:right="851" w:bottom="567" w:left="425" w:header="0" w:footer="0" w:gutter="0"/>
          <w:cols w:num="1" w:sep="0" w:space="1701" w:equalWidth="1"/>
          <w:docGrid w:linePitch="360"/>
        </w:sectPr>
      </w:pPr>
      <w:r>
        <w:rPr>
          <w:color w:val="000000" w:themeColor="text1"/>
          <w:highlight w:val="white"/>
        </w:rPr>
        <w:object w:dxaOrig="556" w:dyaOrig="1261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2" o:spid="_x0000_s2" type="#_x0000_t75" style="width:85.50pt;height:53.25pt;mso-wrap-distance-left:0.00pt;mso-wrap-distance-top:0.00pt;mso-wrap-distance-right:0.00pt;mso-wrap-distance-bottom:0.00pt;" filled="f" stroked="f">
            <v:path textboxrect="0,0,0,0"/>
            <v:imagedata r:id="rId14" o:title=""/>
          </v:shape>
          <o:OLEObject DrawAspect="Content" r:id="rId15" ObjectID="_1525042" ProgID="Excel.Sheet.12" ShapeID="_x0000_i2" Type="Embed"/>
        </w:object>
      </w:r>
      <w:r>
        <w:rPr>
          <w:b/>
          <w:color w:val="000000" w:themeColor="text1"/>
          <w:sz w:val="18"/>
          <w:szCs w:val="18"/>
          <w:highlight w:val="white"/>
        </w:rPr>
      </w:r>
      <w:r>
        <w:rPr>
          <w:b/>
          <w:color w:val="000000" w:themeColor="text1"/>
          <w:sz w:val="18"/>
          <w:szCs w:val="18"/>
          <w:highlight w:val="white"/>
        </w:rPr>
      </w:r>
    </w:p>
    <w:p>
      <w:pPr>
        <w:pStyle w:val="887"/>
        <w:ind w:left="397"/>
        <w:rPr>
          <w:color w:val="000000" w:themeColor="text1"/>
          <w:highlight w:val="white"/>
        </w:rPr>
      </w:pPr>
      <w:r>
        <w:rPr>
          <w:b/>
          <w:color w:val="000000" w:themeColor="text1"/>
          <w:highlight w:val="white"/>
        </w:rPr>
        <w:t xml:space="preserve">ОБРАЗЕЦ</w:t>
      </w:r>
      <w:r>
        <w:rPr>
          <w:color w:val="000000" w:themeColor="text1"/>
          <w:highlight w:val="white"/>
        </w:rPr>
        <w:t xml:space="preserve">             </w:t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pStyle w:val="887"/>
        <w:ind w:left="8646"/>
        <w:jc w:val="right"/>
        <w:rPr>
          <w:color w:val="000000" w:themeColor="text1"/>
          <w:sz w:val="20"/>
          <w:szCs w:val="20"/>
          <w:highlight w:val="white"/>
        </w:rPr>
      </w:pPr>
      <w:r>
        <w:rPr>
          <w:color w:val="000000" w:themeColor="text1"/>
          <w:highlight w:val="white"/>
        </w:rPr>
        <w:t xml:space="preserve"> </w:t>
      </w:r>
      <w:r>
        <w:rPr>
          <w:color w:val="000000" w:themeColor="text1"/>
          <w:sz w:val="20"/>
          <w:szCs w:val="20"/>
          <w:highlight w:val="white"/>
        </w:rPr>
        <w:t xml:space="preserve">Приложение №1.2 </w:t>
      </w:r>
      <w:r>
        <w:rPr>
          <w:color w:val="000000" w:themeColor="text1"/>
          <w:sz w:val="20"/>
          <w:szCs w:val="20"/>
          <w:highlight w:val="white"/>
        </w:rPr>
      </w:r>
      <w:r>
        <w:rPr>
          <w:color w:val="000000" w:themeColor="text1"/>
          <w:sz w:val="20"/>
          <w:szCs w:val="20"/>
          <w:highlight w:val="white"/>
        </w:rPr>
      </w:r>
    </w:p>
    <w:p>
      <w:pPr>
        <w:pStyle w:val="1015"/>
        <w:ind w:left="5811" w:firstLine="720"/>
        <w:jc w:val="right"/>
        <w:rPr>
          <w:rFonts w:ascii="Times New Roman" w:hAnsi="Times New Roman"/>
          <w:color w:val="000000" w:themeColor="text1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к Требования к оформлению и составлению документации по ценообразованию</w:t>
      </w:r>
      <w:r>
        <w:rPr>
          <w:rFonts w:ascii="Times New Roman" w:hAnsi="Times New Roman"/>
          <w:color w:val="000000" w:themeColor="text1"/>
          <w:highlight w:val="white"/>
        </w:rPr>
      </w:r>
      <w:r>
        <w:rPr>
          <w:rFonts w:ascii="Times New Roman" w:hAnsi="Times New Roman"/>
          <w:color w:val="000000" w:themeColor="text1"/>
          <w:highlight w:val="white"/>
        </w:rPr>
      </w:r>
    </w:p>
    <w:tbl>
      <w:tblPr>
        <w:tblW w:w="16199" w:type="dxa"/>
        <w:tblInd w:w="141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722"/>
        <w:gridCol w:w="219"/>
        <w:gridCol w:w="1445"/>
        <w:gridCol w:w="220"/>
        <w:gridCol w:w="3264"/>
        <w:gridCol w:w="235"/>
        <w:gridCol w:w="217"/>
        <w:gridCol w:w="1207"/>
        <w:gridCol w:w="1843"/>
        <w:gridCol w:w="246"/>
        <w:gridCol w:w="823"/>
        <w:gridCol w:w="917"/>
        <w:gridCol w:w="256"/>
        <w:gridCol w:w="535"/>
        <w:gridCol w:w="218"/>
        <w:gridCol w:w="840"/>
        <w:gridCol w:w="417"/>
        <w:gridCol w:w="22"/>
        <w:gridCol w:w="434"/>
        <w:gridCol w:w="439"/>
        <w:gridCol w:w="217"/>
        <w:gridCol w:w="716"/>
        <w:gridCol w:w="745"/>
      </w:tblGrid>
      <w:tr>
        <w:tblPrEx/>
        <w:trPr>
          <w:trHeight w:val="78"/>
        </w:trPr>
        <w:tc>
          <w:tcPr>
            <w:gridSpan w:val="4"/>
            <w:shd w:val="clear" w:color="ffffff" w:fill="ffffff"/>
            <w:tcW w:w="2606" w:type="dxa"/>
            <w:vAlign w:val="center"/>
            <w:textDirection w:val="lrTb"/>
            <w:noWrap w:val="false"/>
          </w:tcPr>
          <w:p>
            <w:pPr>
              <w:pStyle w:val="887"/>
              <w:rPr>
                <w:b/>
                <w:bCs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  <w:highlight w:val="white"/>
              </w:rPr>
              <w:t xml:space="preserve">СОГЛАСОВАНО:</w:t>
            </w:r>
            <w:r>
              <w:rPr>
                <w:b/>
                <w:bCs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b/>
                <w:bCs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gridSpan w:val="3"/>
            <w:shd w:val="clear" w:color="ffffff" w:fill="ffffff"/>
            <w:tcW w:w="3716" w:type="dxa"/>
            <w:vAlign w:val="bottom"/>
            <w:textDirection w:val="lrTb"/>
            <w:noWrap w:val="false"/>
          </w:tcPr>
          <w:p>
            <w:pPr>
              <w:pStyle w:val="887"/>
              <w:rPr>
                <w:b/>
                <w:bCs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b/>
                <w:bCs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b/>
                <w:bCs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gridSpan w:val="3"/>
            <w:shd w:val="clear" w:color="ffffff" w:fill="ffffff"/>
            <w:tcW w:w="3296" w:type="dxa"/>
            <w:vAlign w:val="bottom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gridSpan w:val="3"/>
            <w:shd w:val="clear" w:color="ffffff" w:fill="ffffff"/>
            <w:tcW w:w="1996" w:type="dxa"/>
            <w:vAlign w:val="bottom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gridSpan w:val="10"/>
            <w:shd w:val="clear" w:color="ffffff" w:fill="ffffff"/>
            <w:tcW w:w="4583" w:type="dxa"/>
            <w:vAlign w:val="bottom"/>
            <w:textDirection w:val="lrTb"/>
            <w:noWrap w:val="false"/>
          </w:tcPr>
          <w:p>
            <w:pPr>
              <w:pStyle w:val="887"/>
              <w:rPr>
                <w:b/>
                <w:bCs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  <w:highlight w:val="white"/>
              </w:rPr>
              <w:t xml:space="preserve">УТВЕРЖДАЮ:</w:t>
            </w:r>
            <w:r>
              <w:rPr>
                <w:b/>
                <w:bCs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b/>
                <w:bCs/>
                <w:color w:val="000000" w:themeColor="text1"/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312"/>
        </w:trPr>
        <w:tc>
          <w:tcPr>
            <w:gridSpan w:val="4"/>
            <w:shd w:val="clear" w:color="ffffff" w:fill="ffffff"/>
            <w:tcW w:w="2606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  <w:t xml:space="preserve">_______________ ФИО</w:t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gridSpan w:val="3"/>
            <w:shd w:val="clear" w:color="ffffff" w:fill="ffffff"/>
            <w:tcW w:w="3716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gridSpan w:val="3"/>
            <w:shd w:val="clear" w:color="ffffff" w:fill="ffffff"/>
            <w:tcW w:w="3296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gridSpan w:val="3"/>
            <w:shd w:val="clear" w:color="ffffff" w:fill="ffffff"/>
            <w:tcW w:w="1996" w:type="dxa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gridSpan w:val="10"/>
            <w:shd w:val="clear" w:color="ffffff" w:fill="ffffff"/>
            <w:tcW w:w="4583" w:type="dxa"/>
            <w:vAlign w:val="bottom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  <w:t xml:space="preserve">________________ФИО</w:t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312"/>
        </w:trPr>
        <w:tc>
          <w:tcPr>
            <w:gridSpan w:val="7"/>
            <w:shd w:val="clear" w:color="ffffff" w:fill="ffffff"/>
            <w:tcW w:w="6322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  <w:t xml:space="preserve">"___" _____________ 20__ г.</w:t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gridSpan w:val="3"/>
            <w:shd w:val="clear" w:color="ffffff" w:fill="ffffff"/>
            <w:tcW w:w="3296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gridSpan w:val="3"/>
            <w:shd w:val="clear" w:color="ffffff" w:fill="ffffff"/>
            <w:tcW w:w="1996" w:type="dxa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gridSpan w:val="10"/>
            <w:shd w:val="clear" w:color="ffffff" w:fill="ffffff"/>
            <w:tcW w:w="4583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  <w:t xml:space="preserve">"___" _____________ 20__ г.</w:t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312"/>
        </w:trPr>
        <w:tc>
          <w:tcPr>
            <w:gridSpan w:val="2"/>
            <w:shd w:val="clear" w:color="ffffff" w:fill="ffffff"/>
            <w:tcW w:w="941" w:type="dxa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gridSpan w:val="4"/>
            <w:shd w:val="clear" w:color="ffffff" w:fill="ffffff"/>
            <w:tcW w:w="5164" w:type="dxa"/>
            <w:vAlign w:val="bottom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gridSpan w:val="5"/>
            <w:shd w:val="clear" w:color="ffffff" w:fill="ffffff"/>
            <w:tcW w:w="4336" w:type="dxa"/>
            <w:vAlign w:val="bottom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gridSpan w:val="3"/>
            <w:shd w:val="clear" w:color="ffffff" w:fill="ffffff"/>
            <w:tcW w:w="1708" w:type="dxa"/>
            <w:vAlign w:val="center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gridSpan w:val="2"/>
            <w:shd w:val="clear" w:color="ffffff" w:fill="ffffff"/>
            <w:tcW w:w="1058" w:type="dxa"/>
            <w:vAlign w:val="bottom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gridSpan w:val="3"/>
            <w:shd w:val="clear" w:color="ffffff" w:fill="ffffff"/>
            <w:tcW w:w="873" w:type="dxa"/>
            <w:vAlign w:val="bottom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W w:w="439" w:type="dxa"/>
            <w:vAlign w:val="bottom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gridSpan w:val="2"/>
            <w:shd w:val="clear" w:color="ffffff" w:fill="ffffff"/>
            <w:tcW w:w="933" w:type="dxa"/>
            <w:vAlign w:val="bottom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745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</w:tr>
      <w:tr>
        <w:tblPrEx/>
        <w:trPr>
          <w:trHeight w:val="312"/>
        </w:trPr>
        <w:tc>
          <w:tcPr>
            <w:shd w:val="clear" w:color="ffffff" w:fill="ffffff"/>
            <w:tcW w:w="722" w:type="dxa"/>
            <w:vAlign w:val="center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gridSpan w:val="2"/>
            <w:shd w:val="clear" w:color="ffffff" w:fill="ffffff"/>
            <w:tcW w:w="1664" w:type="dxa"/>
            <w:vAlign w:val="bottom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gridSpan w:val="2"/>
            <w:shd w:val="clear" w:color="ffffff" w:fill="ffffff"/>
            <w:tcW w:w="3484" w:type="dxa"/>
            <w:vAlign w:val="bottom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gridSpan w:val="3"/>
            <w:shd w:val="clear" w:color="ffffff" w:fill="ffffff"/>
            <w:tcW w:w="1659" w:type="dxa"/>
            <w:vAlign w:val="bottom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gridSpan w:val="9"/>
            <w:shd w:val="clear" w:color="ffffff" w:fill="ffffff"/>
            <w:tcW w:w="6095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b/>
                <w:bCs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  <w:t xml:space="preserve">Сводный сметный расчет в сумме</w:t>
            </w:r>
            <w:r>
              <w:rPr>
                <w:b/>
                <w:bCs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b/>
                <w:bCs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gridSpan w:val="5"/>
            <w:shd w:val="clear" w:color="ffffff" w:fill="ffffff"/>
            <w:tcW w:w="1828" w:type="dxa"/>
            <w:vAlign w:val="center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  <w:t xml:space="preserve">руб. без НДС</w:t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745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</w:tr>
      <w:tr>
        <w:tblPrEx/>
        <w:trPr>
          <w:trHeight w:val="312"/>
        </w:trPr>
        <w:tc>
          <w:tcPr>
            <w:shd w:val="clear" w:color="ffffff" w:fill="ffffff"/>
            <w:tcW w:w="722" w:type="dxa"/>
            <w:vAlign w:val="bottom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gridSpan w:val="2"/>
            <w:shd w:val="clear" w:color="ffffff" w:fill="ffffff"/>
            <w:tcW w:w="1664" w:type="dxa"/>
            <w:vAlign w:val="bottom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gridSpan w:val="15"/>
            <w:shd w:val="clear" w:color="ffffff" w:fill="ffffff"/>
            <w:tcW w:w="11260" w:type="dxa"/>
            <w:vAlign w:val="bottom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  <w:highlight w:val="white"/>
              </w:rPr>
              <w:t xml:space="preserve">СВОДНЫЙ СМЕТНЫЙ РАСЧЕТ</w:t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gridSpan w:val="4"/>
            <w:shd w:val="clear" w:color="ffffff" w:fill="ffffff"/>
            <w:tcW w:w="1806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745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</w:tr>
      <w:tr>
        <w:tblPrEx/>
        <w:trPr>
          <w:trHeight w:val="240"/>
        </w:trPr>
        <w:tc>
          <w:tcPr>
            <w:shd w:val="clear" w:color="ffffff" w:fill="ffffff"/>
            <w:tcW w:w="722" w:type="dxa"/>
            <w:vAlign w:val="bottom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gridSpan w:val="2"/>
            <w:shd w:val="clear" w:color="ffffff" w:fill="ffffff"/>
            <w:tcW w:w="1664" w:type="dxa"/>
            <w:vAlign w:val="bottom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gridSpan w:val="18"/>
            <w:shd w:val="clear" w:color="ffffff" w:fill="ffffff"/>
            <w:tcBorders>
              <w:bottom w:val="single" w:color="000000" w:sz="4" w:space="0"/>
            </w:tcBorders>
            <w:tcW w:w="12350" w:type="dxa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W w:w="716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745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</w:tr>
      <w:tr>
        <w:tblPrEx/>
        <w:trPr>
          <w:trHeight w:val="300"/>
        </w:trPr>
        <w:tc>
          <w:tcPr>
            <w:shd w:val="clear" w:color="ffffff" w:fill="ffffff"/>
            <w:tcW w:w="722" w:type="dxa"/>
            <w:vAlign w:val="bottom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gridSpan w:val="2"/>
            <w:shd w:val="clear" w:color="ffffff" w:fill="ffffff"/>
            <w:tcW w:w="1664" w:type="dxa"/>
            <w:vAlign w:val="bottom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gridSpan w:val="2"/>
            <w:shd w:val="clear" w:color="ffffff" w:fill="ffffff"/>
            <w:tcW w:w="3484" w:type="dxa"/>
            <w:vAlign w:val="bottom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gridSpan w:val="7"/>
            <w:shd w:val="clear" w:color="ffffff" w:fill="ffffff"/>
            <w:tcW w:w="5488" w:type="dxa"/>
            <w:vAlign w:val="center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i/>
                <w:iCs/>
                <w:color w:val="000000" w:themeColor="text1"/>
                <w:sz w:val="20"/>
                <w:szCs w:val="20"/>
                <w:highlight w:val="white"/>
              </w:rPr>
              <w:t xml:space="preserve">               </w:t>
            </w:r>
            <w:r>
              <w:rPr>
                <w:i/>
                <w:iCs/>
                <w:color w:val="000000" w:themeColor="text1"/>
                <w:sz w:val="20"/>
                <w:szCs w:val="20"/>
                <w:highlight w:val="white"/>
              </w:rPr>
              <w:t xml:space="preserve">(наименование стройки)</w:t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gridSpan w:val="5"/>
            <w:shd w:val="clear" w:color="ffffff" w:fill="ffffff"/>
            <w:tcW w:w="2266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gridSpan w:val="5"/>
            <w:shd w:val="clear" w:color="ffffff" w:fill="ffffff"/>
            <w:tcW w:w="1828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745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</w:tr>
      <w:tr>
        <w:tblPrEx/>
        <w:trPr>
          <w:trHeight w:val="312"/>
        </w:trPr>
        <w:tc>
          <w:tcPr>
            <w:gridSpan w:val="15"/>
            <w:shd w:val="clear" w:color="ffffff" w:fill="ffffff"/>
            <w:tcW w:w="12367" w:type="dxa"/>
            <w:vAlign w:val="bottom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  <w:t xml:space="preserve">Составлен в текущих ценах, соответствующих периоду выполнения работ по договору</w:t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gridSpan w:val="6"/>
            <w:shd w:val="clear" w:color="ffffff" w:fill="ffffff"/>
            <w:tcW w:w="2369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W w:w="716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745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</w:tr>
      <w:tr>
        <w:tblPrEx/>
        <w:trPr>
          <w:trHeight w:val="84"/>
        </w:trPr>
        <w:tc>
          <w:tcPr>
            <w:shd w:val="clear" w:color="ffffff" w:fill="ffffff"/>
            <w:tcW w:w="722" w:type="dxa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gridSpan w:val="2"/>
            <w:shd w:val="clear" w:color="ffffff" w:fill="ffffff"/>
            <w:tcW w:w="1664" w:type="dxa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gridSpan w:val="2"/>
            <w:shd w:val="clear" w:color="ffffff" w:fill="ffffff"/>
            <w:tcW w:w="3484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gridSpan w:val="3"/>
            <w:shd w:val="clear" w:color="ffffff" w:fill="ffffff"/>
            <w:tcW w:w="1659" w:type="dxa"/>
            <w:vAlign w:val="center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W w:w="1843" w:type="dxa"/>
            <w:vAlign w:val="center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gridSpan w:val="3"/>
            <w:shd w:val="clear" w:color="ffffff" w:fill="ffffff"/>
            <w:tcW w:w="1986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gridSpan w:val="5"/>
            <w:shd w:val="clear" w:color="ffffff" w:fill="ffffff"/>
            <w:tcW w:w="2266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gridSpan w:val="5"/>
            <w:shd w:val="clear" w:color="ffffff" w:fill="ffffff"/>
            <w:tcW w:w="1828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745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</w:tr>
      <w:tr>
        <w:tblPrEx/>
        <w:trPr>
          <w:trHeight w:val="84"/>
        </w:trPr>
        <w:tc>
          <w:tcPr>
            <w:shd w:val="clear" w:color="ffffff" w:fill="ffffff"/>
            <w:tcW w:w="722" w:type="dxa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gridSpan w:val="2"/>
            <w:shd w:val="clear" w:color="ffffff" w:fill="ffffff"/>
            <w:tcW w:w="1664" w:type="dxa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gridSpan w:val="2"/>
            <w:shd w:val="clear" w:color="ffffff" w:fill="ffffff"/>
            <w:tcW w:w="3484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gridSpan w:val="3"/>
            <w:shd w:val="clear" w:color="ffffff" w:fill="ffffff"/>
            <w:tcW w:w="1659" w:type="dxa"/>
            <w:vAlign w:val="center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W w:w="1843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gridSpan w:val="3"/>
            <w:shd w:val="clear" w:color="ffffff" w:fill="ffffff"/>
            <w:tcW w:w="1986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gridSpan w:val="5"/>
            <w:shd w:val="clear" w:color="ffffff" w:fill="ffffff"/>
            <w:tcW w:w="2266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gridSpan w:val="5"/>
            <w:shd w:val="clear" w:color="ffffff" w:fill="ffffff"/>
            <w:tcW w:w="1828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745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</w:tr>
      <w:tr>
        <w:tblPrEx/>
        <w:trPr>
          <w:trHeight w:val="255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2" w:type="dxa"/>
            <w:vAlign w:val="center"/>
            <w:vMerge w:val="restart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№ 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пп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64" w:type="dxa"/>
            <w:vAlign w:val="center"/>
            <w:vMerge w:val="restart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Номера сметных расчетов и смет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84" w:type="dxa"/>
            <w:vAlign w:val="center"/>
            <w:vMerge w:val="restart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Наименование глав, объектов, работ и затрат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12"/>
            <w:shd w:val="clear" w:color="ffffff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754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Сметная стоимость, руб.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5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28" w:type="dxa"/>
            <w:vAlign w:val="center"/>
            <w:vMerge w:val="restart"/>
            <w:textDirection w:val="lrTb"/>
            <w:noWrap w:val="false"/>
          </w:tcPr>
          <w:p>
            <w:pPr>
              <w:pStyle w:val="887"/>
              <w:ind w:left="-113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Общая сметная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  <w:p>
            <w:pPr>
              <w:pStyle w:val="887"/>
              <w:ind w:left="-113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стоимость, руб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W w:w="745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</w:tr>
      <w:tr>
        <w:tblPrEx/>
        <w:trPr>
          <w:trHeight w:val="59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2" w:type="dxa"/>
            <w:vAlign w:val="center"/>
            <w:vMerge w:val="continue"/>
            <w:textDirection w:val="lrTb"/>
            <w:noWrap w:val="false"/>
          </w:tcPr>
          <w:p>
            <w:pPr>
              <w:pStyle w:val="88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64" w:type="dxa"/>
            <w:vAlign w:val="center"/>
            <w:vMerge w:val="continue"/>
            <w:textDirection w:val="lrTb"/>
            <w:noWrap w:val="false"/>
          </w:tcPr>
          <w:p>
            <w:pPr>
              <w:pStyle w:val="88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84" w:type="dxa"/>
            <w:vAlign w:val="center"/>
            <w:vMerge w:val="continue"/>
            <w:textDirection w:val="lrTb"/>
            <w:noWrap w:val="false"/>
          </w:tcPr>
          <w:p>
            <w:pPr>
              <w:pStyle w:val="88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9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строитель-</w:t>
              <w:br/>
              <w:t xml:space="preserve">ных работ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монтажных работ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оборудования, мебели, инвентаря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5"/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6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прочих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5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28" w:type="dxa"/>
            <w:vAlign w:val="center"/>
            <w:vMerge w:val="continue"/>
            <w:textDirection w:val="lrTb"/>
            <w:noWrap w:val="false"/>
          </w:tcPr>
          <w:p>
            <w:pPr>
              <w:pStyle w:val="887"/>
              <w:ind w:hanging="59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745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</w:tr>
      <w:tr>
        <w:tblPrEx/>
        <w:trPr>
          <w:trHeight w:val="312"/>
        </w:trPr>
        <w:tc>
          <w:tcPr>
            <w:shd w:val="clear" w:color="ffffff" w:fill="ffffff"/>
            <w:tcBorders>
              <w:left w:val="single" w:color="000000" w:sz="4" w:space="0"/>
              <w:right w:val="single" w:color="000000" w:sz="4" w:space="0"/>
            </w:tcBorders>
            <w:tcW w:w="722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1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right w:val="single" w:color="000000" w:sz="4" w:space="0"/>
            </w:tcBorders>
            <w:tcW w:w="1664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2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right w:val="single" w:color="000000" w:sz="4" w:space="0"/>
            </w:tcBorders>
            <w:tcW w:w="3484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3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right w:val="single" w:color="000000" w:sz="4" w:space="0"/>
            </w:tcBorders>
            <w:tcW w:w="1659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4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shd w:val="clear" w:color="ffffff" w:fill="ffffff"/>
            <w:tcBorders>
              <w:right w:val="single" w:color="000000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5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right w:val="single" w:color="000000" w:sz="4" w:space="0"/>
            </w:tcBorders>
            <w:tcW w:w="1986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6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5"/>
            <w:shd w:val="clear" w:color="ffffff" w:fill="ffffff"/>
            <w:tcBorders>
              <w:right w:val="single" w:color="000000" w:sz="4" w:space="0"/>
            </w:tcBorders>
            <w:tcW w:w="2266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7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5"/>
            <w:shd w:val="clear" w:color="ffffff" w:fill="ffffff"/>
            <w:tcBorders>
              <w:top w:val="single" w:color="000000" w:sz="4" w:space="0"/>
              <w:right w:val="single" w:color="000000" w:sz="4" w:space="0"/>
            </w:tcBorders>
            <w:tcW w:w="1828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8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W w:w="745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</w:tr>
      <w:tr>
        <w:tblPrEx/>
        <w:trPr>
          <w:trHeight w:val="312"/>
        </w:trPr>
        <w:tc>
          <w:tcPr>
            <w:gridSpan w:val="22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52" w:type="dxa"/>
            <w:textDirection w:val="lrTb"/>
            <w:noWrap w:val="false"/>
          </w:tcPr>
          <w:p>
            <w:pPr>
              <w:pStyle w:val="887"/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  <w:t xml:space="preserve">Глава 2. Основные объекты</w:t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W w:w="745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</w:tr>
      <w:tr>
        <w:tblPrEx/>
        <w:trPr>
          <w:trHeight w:val="312"/>
        </w:trPr>
        <w:tc>
          <w:tcPr>
            <w:gridSpan w:val="22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52" w:type="dxa"/>
            <w:textDirection w:val="lrTb"/>
            <w:noWrap w:val="false"/>
          </w:tcPr>
          <w:p>
            <w:pPr>
              <w:pStyle w:val="887"/>
              <w:jc w:val="center"/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  <w:t xml:space="preserve">Сметы основного договора:</w:t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W w:w="745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</w:tr>
      <w:tr>
        <w:tblPrEx/>
        <w:trPr>
          <w:trHeight w:val="312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2" w:type="dxa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1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664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№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02-01-01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3484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659" w:type="dxa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5"/>
            <w:shd w:val="clear" w:color="ffffff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2266" w:type="dxa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5"/>
            <w:shd w:val="clear" w:color="ffffff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828" w:type="dxa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W w:w="745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</w:tr>
      <w:tr>
        <w:tblPrEx/>
        <w:trPr>
          <w:trHeight w:val="312"/>
        </w:trPr>
        <w:tc>
          <w:tcPr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2" w:type="dxa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2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664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№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02-01-02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3484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659" w:type="dxa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5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2266" w:type="dxa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5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828" w:type="dxa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W w:w="745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</w:tr>
      <w:tr>
        <w:tblPrEx/>
        <w:trPr>
          <w:trHeight w:val="360"/>
        </w:trPr>
        <w:tc>
          <w:tcPr>
            <w:gridSpan w:val="22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52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  <w:t xml:space="preserve">Исключить дополнительным соглашением №___</w:t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W w:w="745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</w:tr>
      <w:tr>
        <w:tblPrEx/>
        <w:trPr>
          <w:trHeight w:val="312"/>
        </w:trPr>
        <w:tc>
          <w:tcPr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2" w:type="dxa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664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№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02-01-02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3484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659" w:type="dxa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5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2266" w:type="dxa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5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828" w:type="dxa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W w:w="745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</w:tr>
      <w:tr>
        <w:tblPrEx/>
        <w:trPr>
          <w:trHeight w:val="405"/>
        </w:trPr>
        <w:tc>
          <w:tcPr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2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4"/>
            <w:shd w:val="clear" w:color="ffffff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5148" w:type="dxa"/>
            <w:vAlign w:val="center"/>
            <w:textDirection w:val="lrTb"/>
            <w:noWrap w:val="false"/>
          </w:tcPr>
          <w:p>
            <w:pPr>
              <w:pStyle w:val="887"/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  <w:t xml:space="preserve">Итого исключено Дополнительным соглашением №</w:t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659" w:type="dxa"/>
            <w:vAlign w:val="center"/>
            <w:textDirection w:val="lrTb"/>
            <w:noWrap w:val="false"/>
          </w:tcPr>
          <w:p>
            <w:pPr>
              <w:pStyle w:val="887"/>
              <w:jc w:val="right"/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887"/>
              <w:jc w:val="right"/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986" w:type="dxa"/>
            <w:vAlign w:val="center"/>
            <w:textDirection w:val="lrTb"/>
            <w:noWrap w:val="false"/>
          </w:tcPr>
          <w:p>
            <w:pPr>
              <w:pStyle w:val="887"/>
              <w:jc w:val="right"/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5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2266" w:type="dxa"/>
            <w:vAlign w:val="center"/>
            <w:textDirection w:val="lrTb"/>
            <w:noWrap w:val="false"/>
          </w:tcPr>
          <w:p>
            <w:pPr>
              <w:pStyle w:val="887"/>
              <w:jc w:val="right"/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5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828" w:type="dxa"/>
            <w:vAlign w:val="center"/>
            <w:textDirection w:val="lrTb"/>
            <w:noWrap w:val="false"/>
          </w:tcPr>
          <w:p>
            <w:pPr>
              <w:pStyle w:val="887"/>
              <w:jc w:val="right"/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W w:w="745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</w:tr>
      <w:tr>
        <w:tblPrEx/>
        <w:trPr>
          <w:trHeight w:val="435"/>
        </w:trPr>
        <w:tc>
          <w:tcPr>
            <w:gridSpan w:val="22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52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  <w:t xml:space="preserve">Включить дополнительным соглашением №____</w:t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W w:w="745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</w:tr>
      <w:tr>
        <w:tblPrEx/>
        <w:trPr>
          <w:trHeight w:val="370"/>
        </w:trPr>
        <w:tc>
          <w:tcPr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2" w:type="dxa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664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№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02-01-02/1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3484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659" w:type="dxa"/>
            <w:vAlign w:val="center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986" w:type="dxa"/>
            <w:vAlign w:val="center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5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2266" w:type="dxa"/>
            <w:vAlign w:val="center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5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828" w:type="dxa"/>
            <w:vAlign w:val="center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W w:w="745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</w:tr>
      <w:tr>
        <w:tblPrEx/>
        <w:trPr>
          <w:trHeight w:val="330"/>
        </w:trPr>
        <w:tc>
          <w:tcPr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2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4"/>
            <w:shd w:val="clear" w:color="ffffff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5148" w:type="dxa"/>
            <w:vAlign w:val="center"/>
            <w:textDirection w:val="lrTb"/>
            <w:noWrap w:val="false"/>
          </w:tcPr>
          <w:p>
            <w:pPr>
              <w:pStyle w:val="887"/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  <w:t xml:space="preserve">Итого включено Дополнительным соглашением №</w:t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659" w:type="dxa"/>
            <w:vAlign w:val="center"/>
            <w:textDirection w:val="lrTb"/>
            <w:noWrap w:val="false"/>
          </w:tcPr>
          <w:p>
            <w:pPr>
              <w:pStyle w:val="887"/>
              <w:jc w:val="right"/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887"/>
              <w:jc w:val="right"/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986" w:type="dxa"/>
            <w:vAlign w:val="center"/>
            <w:textDirection w:val="lrTb"/>
            <w:noWrap w:val="false"/>
          </w:tcPr>
          <w:p>
            <w:pPr>
              <w:pStyle w:val="887"/>
              <w:jc w:val="right"/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5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2266" w:type="dxa"/>
            <w:vAlign w:val="center"/>
            <w:textDirection w:val="lrTb"/>
            <w:noWrap w:val="false"/>
          </w:tcPr>
          <w:p>
            <w:pPr>
              <w:pStyle w:val="887"/>
              <w:jc w:val="right"/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5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828" w:type="dxa"/>
            <w:vAlign w:val="center"/>
            <w:textDirection w:val="lrTb"/>
            <w:noWrap w:val="false"/>
          </w:tcPr>
          <w:p>
            <w:pPr>
              <w:pStyle w:val="887"/>
              <w:jc w:val="right"/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W w:w="745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</w:tr>
      <w:tr>
        <w:tblPrEx/>
        <w:trPr>
          <w:trHeight w:val="222"/>
        </w:trPr>
        <w:tc>
          <w:tcPr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2" w:type="dxa"/>
            <w:textDirection w:val="lrTb"/>
            <w:noWrap w:val="false"/>
          </w:tcPr>
          <w:p>
            <w:pPr>
              <w:pStyle w:val="887"/>
              <w:jc w:val="center"/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4"/>
            <w:shd w:val="clear" w:color="ffffff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5148" w:type="dxa"/>
            <w:textDirection w:val="lrTb"/>
            <w:noWrap w:val="false"/>
          </w:tcPr>
          <w:p>
            <w:pPr>
              <w:pStyle w:val="887"/>
              <w:jc w:val="right"/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  <w:t xml:space="preserve">Итого по Главе 2. "Основные объекты"</w:t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659" w:type="dxa"/>
            <w:textDirection w:val="lrTb"/>
            <w:noWrap w:val="false"/>
          </w:tcPr>
          <w:p>
            <w:pPr>
              <w:pStyle w:val="887"/>
              <w:jc w:val="right"/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887"/>
              <w:jc w:val="right"/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887"/>
              <w:jc w:val="right"/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5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2266" w:type="dxa"/>
            <w:textDirection w:val="lrTb"/>
            <w:noWrap w:val="false"/>
          </w:tcPr>
          <w:p>
            <w:pPr>
              <w:pStyle w:val="887"/>
              <w:jc w:val="right"/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5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828" w:type="dxa"/>
            <w:textDirection w:val="lrTb"/>
            <w:noWrap w:val="false"/>
          </w:tcPr>
          <w:p>
            <w:pPr>
              <w:pStyle w:val="887"/>
              <w:jc w:val="right"/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W w:w="745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</w:tr>
      <w:tr>
        <w:tblPrEx/>
        <w:trPr>
          <w:trHeight w:val="312"/>
        </w:trPr>
        <w:tc>
          <w:tcPr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2" w:type="dxa"/>
            <w:textDirection w:val="lrTb"/>
            <w:noWrap w:val="false"/>
          </w:tcPr>
          <w:p>
            <w:pPr>
              <w:pStyle w:val="887"/>
              <w:jc w:val="center"/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4"/>
            <w:shd w:val="clear" w:color="ffffff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5148" w:type="dxa"/>
            <w:textDirection w:val="lrTb"/>
            <w:noWrap w:val="false"/>
          </w:tcPr>
          <w:p>
            <w:pPr>
              <w:pStyle w:val="887"/>
              <w:jc w:val="right"/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  <w:t xml:space="preserve">Всего по сводному сметному расчету, без учета НДС</w:t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659" w:type="dxa"/>
            <w:textDirection w:val="lrTb"/>
            <w:noWrap w:val="false"/>
          </w:tcPr>
          <w:p>
            <w:pPr>
              <w:pStyle w:val="887"/>
              <w:jc w:val="right"/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887"/>
              <w:jc w:val="right"/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887"/>
              <w:jc w:val="right"/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5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2266" w:type="dxa"/>
            <w:textDirection w:val="lrTb"/>
            <w:noWrap w:val="false"/>
          </w:tcPr>
          <w:p>
            <w:pPr>
              <w:pStyle w:val="887"/>
              <w:jc w:val="right"/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5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828" w:type="dxa"/>
            <w:textDirection w:val="lrTb"/>
            <w:noWrap w:val="false"/>
          </w:tcPr>
          <w:p>
            <w:pPr>
              <w:pStyle w:val="887"/>
              <w:jc w:val="right"/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W w:w="745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</w:tr>
      <w:tr>
        <w:tblPrEx/>
        <w:trPr>
          <w:trHeight w:val="360"/>
        </w:trPr>
        <w:tc>
          <w:tcPr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2" w:type="dxa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664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3484" w:type="dxa"/>
            <w:vAlign w:val="center"/>
            <w:textDirection w:val="lrTb"/>
            <w:noWrap w:val="false"/>
          </w:tcPr>
          <w:p>
            <w:pPr>
              <w:pStyle w:val="887"/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  <w:t xml:space="preserve">сумма основного договора (без НДС)</w:t>
            </w: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659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986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5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2266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5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828" w:type="dxa"/>
            <w:vAlign w:val="center"/>
            <w:textDirection w:val="lrTb"/>
            <w:noWrap w:val="false"/>
          </w:tcPr>
          <w:p>
            <w:pPr>
              <w:pStyle w:val="887"/>
              <w:jc w:val="right"/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W w:w="745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</w:tr>
      <w:tr>
        <w:tblPrEx/>
        <w:trPr>
          <w:trHeight w:val="771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2" w:type="dxa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664" w:type="dxa"/>
            <w:vAlign w:val="center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ДС №___ от ___.__.20___г.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3484" w:type="dxa"/>
            <w:vAlign w:val="center"/>
            <w:textDirection w:val="lrTb"/>
            <w:noWrap w:val="false"/>
          </w:tcPr>
          <w:p>
            <w:pPr>
              <w:pStyle w:val="887"/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  <w:t xml:space="preserve">сумма увеличения основного договора на основании дополнительного соглашения № ___ без НДС</w:t>
            </w: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659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5"/>
            <w:shd w:val="clear" w:color="ffffff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2266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5"/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28" w:type="dxa"/>
            <w:vAlign w:val="center"/>
            <w:textDirection w:val="lrTb"/>
            <w:noWrap w:val="false"/>
          </w:tcPr>
          <w:p>
            <w:pPr>
              <w:pStyle w:val="887"/>
              <w:jc w:val="right"/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  <w:t xml:space="preserve">0</w:t>
            </w: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W w:w="745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</w:tr>
      <w:tr>
        <w:tblPrEx/>
        <w:trPr>
          <w:trHeight w:val="375"/>
        </w:trPr>
        <w:tc>
          <w:tcPr>
            <w:shd w:val="clear" w:color="ffffff" w:fill="ffffff"/>
            <w:tcW w:w="722" w:type="dxa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W w:w="1664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Составил: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bottom w:val="single" w:color="000000" w:sz="4" w:space="0"/>
            </w:tcBorders>
            <w:tcW w:w="3484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bottom w:val="single" w:color="000000" w:sz="4" w:space="0"/>
            </w:tcBorders>
            <w:tcW w:w="1659" w:type="dxa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shd w:val="clear" w:color="ffffff" w:fill="ffffff"/>
            <w:tcBorders>
              <w:bottom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bottom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5"/>
            <w:shd w:val="clear" w:color="ffffff" w:fill="ffffff"/>
            <w:tcBorders>
              <w:bottom w:val="single" w:color="000000" w:sz="4" w:space="0"/>
            </w:tcBorders>
            <w:tcW w:w="2266" w:type="dxa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5"/>
            <w:shd w:val="clear" w:color="ffffff" w:fill="ffffff"/>
            <w:tcBorders>
              <w:bottom w:val="single" w:color="000000" w:sz="4" w:space="0"/>
            </w:tcBorders>
            <w:tcW w:w="1828" w:type="dxa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W w:w="745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</w:tr>
      <w:tr>
        <w:tblPrEx/>
        <w:trPr>
          <w:trHeight w:val="312"/>
        </w:trPr>
        <w:tc>
          <w:tcPr>
            <w:shd w:val="clear" w:color="ffffff" w:fill="ffffff"/>
            <w:tcW w:w="722" w:type="dxa"/>
            <w:vAlign w:val="bottom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W w:w="1664" w:type="dxa"/>
            <w:vAlign w:val="bottom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W w:w="3484" w:type="dxa"/>
            <w:textDirection w:val="lrTb"/>
            <w:noWrap w:val="false"/>
          </w:tcPr>
          <w:p>
            <w:pPr>
              <w:pStyle w:val="887"/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7"/>
            <w:shd w:val="clear" w:color="ffffff" w:fill="ffffff"/>
            <w:tcBorders>
              <w:top w:val="single" w:color="000000" w:sz="4" w:space="0"/>
            </w:tcBorders>
            <w:tcW w:w="5488" w:type="dxa"/>
            <w:textDirection w:val="lrTb"/>
            <w:noWrap w:val="false"/>
          </w:tcPr>
          <w:p>
            <w:pPr>
              <w:pStyle w:val="887"/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  <w:t xml:space="preserve">(должность, подпись, расшифровка)</w:t>
            </w: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5"/>
            <w:shd w:val="clear" w:color="ffffff" w:fill="ffffff"/>
            <w:tcW w:w="2266" w:type="dxa"/>
            <w:textDirection w:val="lrTb"/>
            <w:noWrap w:val="false"/>
          </w:tcPr>
          <w:p>
            <w:pPr>
              <w:pStyle w:val="887"/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5"/>
            <w:shd w:val="clear" w:color="ffffff" w:fill="ffffff"/>
            <w:tcW w:w="1828" w:type="dxa"/>
            <w:textDirection w:val="lrTb"/>
            <w:noWrap w:val="false"/>
          </w:tcPr>
          <w:p>
            <w:pPr>
              <w:pStyle w:val="887"/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W w:w="745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</w:tr>
      <w:tr>
        <w:tblPrEx/>
        <w:trPr>
          <w:trHeight w:val="375"/>
        </w:trPr>
        <w:tc>
          <w:tcPr>
            <w:shd w:val="clear" w:color="ffffff" w:fill="ffffff"/>
            <w:tcW w:w="722" w:type="dxa"/>
            <w:textDirection w:val="lrTb"/>
            <w:noWrap w:val="false"/>
          </w:tcPr>
          <w:p>
            <w:pPr>
              <w:pStyle w:val="887"/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W w:w="1664" w:type="dxa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W w:w="3484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W w:w="1659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shd w:val="clear" w:color="ffffff" w:fill="ffffff"/>
            <w:tcW w:w="1843" w:type="dxa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W w:w="1986" w:type="dxa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5"/>
            <w:shd w:val="clear" w:color="ffffff" w:fill="ffffff"/>
            <w:tcW w:w="2266" w:type="dxa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5"/>
            <w:shd w:val="clear" w:color="ffffff" w:fill="ffffff"/>
            <w:tcW w:w="1828" w:type="dxa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W w:w="745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</w:tr>
      <w:tr>
        <w:tblPrEx/>
        <w:trPr>
          <w:trHeight w:val="312"/>
        </w:trPr>
        <w:tc>
          <w:tcPr>
            <w:shd w:val="clear" w:color="ffffff" w:fill="ffffff"/>
            <w:tcW w:w="722" w:type="dxa"/>
            <w:vAlign w:val="bottom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W w:w="1664" w:type="dxa"/>
            <w:vAlign w:val="bottom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Проверил: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bottom w:val="single" w:color="000000" w:sz="4" w:space="0"/>
            </w:tcBorders>
            <w:tcW w:w="3484" w:type="dxa"/>
            <w:vAlign w:val="bottom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bottom w:val="single" w:color="000000" w:sz="4" w:space="0"/>
            </w:tcBorders>
            <w:tcW w:w="1659" w:type="dxa"/>
            <w:vAlign w:val="bottom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shd w:val="clear" w:color="ffffff" w:fill="ffffff"/>
            <w:tcBorders>
              <w:bottom w:val="single" w:color="000000" w:sz="4" w:space="0"/>
            </w:tcBorders>
            <w:tcW w:w="1843" w:type="dxa"/>
            <w:vAlign w:val="bottom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bottom w:val="single" w:color="000000" w:sz="4" w:space="0"/>
            </w:tcBorders>
            <w:tcW w:w="1986" w:type="dxa"/>
            <w:vAlign w:val="bottom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5"/>
            <w:shd w:val="clear" w:color="ffffff" w:fill="ffffff"/>
            <w:tcBorders>
              <w:bottom w:val="single" w:color="000000" w:sz="4" w:space="0"/>
            </w:tcBorders>
            <w:tcW w:w="2266" w:type="dxa"/>
            <w:vAlign w:val="bottom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5"/>
            <w:shd w:val="clear" w:color="ffffff" w:fill="ffffff"/>
            <w:tcBorders>
              <w:bottom w:val="single" w:color="000000" w:sz="4" w:space="0"/>
            </w:tcBorders>
            <w:tcW w:w="1828" w:type="dxa"/>
            <w:vAlign w:val="bottom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W w:w="745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</w:tr>
      <w:tr>
        <w:tblPrEx/>
        <w:trPr>
          <w:trHeight w:val="312"/>
        </w:trPr>
        <w:tc>
          <w:tcPr>
            <w:shd w:val="clear" w:color="ffffff" w:fill="ffffff"/>
            <w:tcW w:w="722" w:type="dxa"/>
            <w:vAlign w:val="bottom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W w:w="1664" w:type="dxa"/>
            <w:vAlign w:val="bottom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W w:w="3484" w:type="dxa"/>
            <w:textDirection w:val="lrTb"/>
            <w:noWrap w:val="false"/>
          </w:tcPr>
          <w:p>
            <w:pPr>
              <w:pStyle w:val="887"/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7"/>
            <w:shd w:val="clear" w:color="ffffff" w:fill="ffffff"/>
            <w:tcBorders>
              <w:top w:val="single" w:color="000000" w:sz="4" w:space="0"/>
            </w:tcBorders>
            <w:tcW w:w="5488" w:type="dxa"/>
            <w:textDirection w:val="lrTb"/>
            <w:noWrap w:val="false"/>
          </w:tcPr>
          <w:p>
            <w:pPr>
              <w:pStyle w:val="887"/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  <w:t xml:space="preserve">(должность, подпись, расшифровка)</w:t>
            </w: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5"/>
            <w:shd w:val="clear" w:color="ffffff" w:fill="ffffff"/>
            <w:tcW w:w="2266" w:type="dxa"/>
            <w:textDirection w:val="lrTb"/>
            <w:noWrap w:val="false"/>
          </w:tcPr>
          <w:p>
            <w:pPr>
              <w:pStyle w:val="887"/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5"/>
            <w:shd w:val="clear" w:color="ffffff" w:fill="ffffff"/>
            <w:tcW w:w="1828" w:type="dxa"/>
            <w:textDirection w:val="lrTb"/>
            <w:noWrap w:val="false"/>
          </w:tcPr>
          <w:p>
            <w:pPr>
              <w:pStyle w:val="887"/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W w:w="745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</w:tr>
    </w:tbl>
    <w:p>
      <w:pPr>
        <w:pStyle w:val="1015"/>
        <w:jc w:val="right"/>
        <w:rPr>
          <w:rFonts w:ascii="Times New Roman" w:hAnsi="Times New Roman" w:cs="Times New Roman"/>
          <w:color w:val="000000" w:themeColor="text1"/>
          <w:highlight w:val="white"/>
        </w:rPr>
      </w:pPr>
      <w:r>
        <w:rPr>
          <w:rFonts w:ascii="Times New Roman" w:hAnsi="Times New Roman" w:cs="Times New Roman"/>
          <w:color w:val="000000" w:themeColor="text1"/>
          <w:highlight w:val="white"/>
        </w:rPr>
      </w:r>
      <w:r>
        <w:rPr>
          <w:rFonts w:ascii="Times New Roman" w:hAnsi="Times New Roman" w:cs="Times New Roman"/>
          <w:color w:val="000000" w:themeColor="text1"/>
          <w:highlight w:val="white"/>
        </w:rPr>
      </w:r>
      <w:r>
        <w:rPr>
          <w:rFonts w:ascii="Times New Roman" w:hAnsi="Times New Roman" w:cs="Times New Roman"/>
          <w:color w:val="000000" w:themeColor="text1"/>
          <w:highlight w:val="white"/>
        </w:rPr>
      </w:r>
    </w:p>
    <w:p>
      <w:pPr>
        <w:pStyle w:val="887"/>
        <w:rPr>
          <w:rFonts w:cs="Arial"/>
          <w:color w:val="000000" w:themeColor="text1"/>
          <w:sz w:val="20"/>
          <w:szCs w:val="20"/>
          <w:highlight w:val="white"/>
        </w:rPr>
        <w:sectPr>
          <w:footnotePr/>
          <w:endnotePr/>
          <w:type w:val="nextPage"/>
          <w:pgSz w:w="16838" w:h="11906" w:orient="landscape"/>
          <w:pgMar w:top="284" w:right="851" w:bottom="709" w:left="425" w:header="0" w:footer="0" w:gutter="0"/>
          <w:cols w:num="1" w:sep="0" w:space="1701" w:equalWidth="1"/>
          <w:docGrid w:linePitch="360"/>
        </w:sectPr>
      </w:pPr>
      <w:r>
        <w:rPr>
          <w:color w:val="000000" w:themeColor="text1"/>
          <w:highlight w:val="white"/>
        </w:rPr>
        <w:object w:dxaOrig="1281" w:dyaOrig="862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3" o:spid="_x0000_s3" type="#_x0000_t75" style="width:78.00pt;height:48.00pt;mso-wrap-distance-left:0.00pt;mso-wrap-distance-top:0.00pt;mso-wrap-distance-right:0.00pt;mso-wrap-distance-bottom:0.00pt;" filled="f" stroked="f">
            <v:path textboxrect="0,0,0,0"/>
            <v:imagedata r:id="rId16" o:title=""/>
          </v:shape>
          <o:OLEObject DrawAspect="Content" r:id="rId17" ObjectID="_1525043" ProgID="Excel.Sheet.12" ShapeID="_x0000_i3" Type="Embed"/>
        </w:object>
      </w:r>
      <w:r>
        <w:rPr>
          <w:rFonts w:cs="Arial"/>
          <w:color w:val="000000" w:themeColor="text1"/>
          <w:sz w:val="20"/>
          <w:szCs w:val="20"/>
          <w:highlight w:val="white"/>
        </w:rPr>
      </w:r>
      <w:r>
        <w:rPr>
          <w:rFonts w:cs="Arial"/>
          <w:color w:val="000000" w:themeColor="text1"/>
          <w:sz w:val="20"/>
          <w:szCs w:val="20"/>
          <w:highlight w:val="white"/>
        </w:rPr>
      </w:r>
    </w:p>
    <w:p>
      <w:pPr>
        <w:pStyle w:val="887"/>
        <w:ind w:left="357"/>
        <w:rPr>
          <w:b/>
          <w:color w:val="000000" w:themeColor="text1"/>
          <w:highlight w:val="white"/>
        </w:rPr>
      </w:pPr>
      <w:r>
        <w:rPr>
          <w:b/>
          <w:color w:val="000000" w:themeColor="text1"/>
          <w:highlight w:val="white"/>
        </w:rPr>
      </w:r>
      <w:bookmarkStart w:id="13" w:name="undefined_Копия_12"/>
      <w:r>
        <w:rPr>
          <w:color w:val="000000" w:themeColor="text1"/>
          <w:highlight w:val="white"/>
        </w:rPr>
      </w:r>
      <w:bookmarkStart w:id="14" w:name="undefined_Копия_11"/>
      <w:r>
        <w:rPr>
          <w:color w:val="000000" w:themeColor="text1"/>
          <w:highlight w:val="white"/>
        </w:rPr>
      </w:r>
      <w:bookmarkStart w:id="15" w:name="undefined_Копия_10"/>
      <w:r>
        <w:rPr>
          <w:color w:val="000000" w:themeColor="text1"/>
          <w:highlight w:val="white"/>
        </w:rPr>
      </w:r>
      <w:bookmarkStart w:id="16" w:name="undefined_Копия_9"/>
      <w:r>
        <w:rPr>
          <w:color w:val="000000" w:themeColor="text1"/>
          <w:highlight w:val="white"/>
        </w:rPr>
      </w:r>
      <w:bookmarkStart w:id="17" w:name="undefined_Копия_8"/>
      <w:r>
        <w:rPr>
          <w:color w:val="000000" w:themeColor="text1"/>
          <w:highlight w:val="white"/>
        </w:rPr>
      </w:r>
      <w:bookmarkStart w:id="18" w:name="undefined_Копия_6"/>
      <w:r>
        <w:rPr>
          <w:color w:val="000000" w:themeColor="text1"/>
          <w:highlight w:val="white"/>
        </w:rPr>
      </w:r>
      <w:bookmarkStart w:id="19" w:name="undefined_Копия_5"/>
      <w:r>
        <w:rPr>
          <w:color w:val="000000" w:themeColor="text1"/>
          <w:highlight w:val="white"/>
        </w:rPr>
      </w:r>
      <w:bookmarkStart w:id="20" w:name="undefined_Копия_4"/>
      <w:r>
        <w:rPr>
          <w:color w:val="000000" w:themeColor="text1"/>
          <w:highlight w:val="white"/>
        </w:rPr>
      </w:r>
      <w:bookmarkStart w:id="21" w:name="undefined_Копия_7"/>
      <w:r>
        <w:rPr>
          <w:color w:val="000000" w:themeColor="text1"/>
          <w:highlight w:val="white"/>
        </w:rPr>
      </w:r>
      <w:bookmarkEnd w:id="13"/>
      <w:r>
        <w:rPr>
          <w:color w:val="000000" w:themeColor="text1"/>
          <w:highlight w:val="white"/>
        </w:rPr>
      </w:r>
      <w:bookmarkEnd w:id="14"/>
      <w:r>
        <w:rPr>
          <w:color w:val="000000" w:themeColor="text1"/>
          <w:highlight w:val="white"/>
        </w:rPr>
      </w:r>
      <w:bookmarkEnd w:id="15"/>
      <w:r>
        <w:rPr>
          <w:color w:val="000000" w:themeColor="text1"/>
          <w:highlight w:val="white"/>
        </w:rPr>
      </w:r>
      <w:bookmarkEnd w:id="16"/>
      <w:r>
        <w:rPr>
          <w:color w:val="000000" w:themeColor="text1"/>
          <w:highlight w:val="white"/>
        </w:rPr>
      </w:r>
      <w:bookmarkEnd w:id="17"/>
      <w:r>
        <w:rPr>
          <w:color w:val="000000" w:themeColor="text1"/>
          <w:highlight w:val="white"/>
        </w:rPr>
      </w:r>
      <w:bookmarkEnd w:id="18"/>
      <w:r>
        <w:rPr>
          <w:color w:val="000000" w:themeColor="text1"/>
          <w:highlight w:val="white"/>
        </w:rPr>
      </w:r>
      <w:bookmarkEnd w:id="19"/>
      <w:r>
        <w:rPr>
          <w:color w:val="000000" w:themeColor="text1"/>
          <w:highlight w:val="white"/>
        </w:rPr>
      </w:r>
      <w:bookmarkEnd w:id="20"/>
      <w:r>
        <w:rPr>
          <w:color w:val="000000" w:themeColor="text1"/>
          <w:highlight w:val="white"/>
        </w:rPr>
      </w:r>
      <w:bookmarkEnd w:id="21"/>
      <w:r>
        <w:rPr>
          <w:b/>
          <w:color w:val="000000" w:themeColor="text1"/>
          <w:highlight w:val="white"/>
        </w:rPr>
      </w:r>
      <w:r>
        <w:rPr>
          <w:b/>
          <w:color w:val="000000" w:themeColor="text1"/>
          <w:highlight w:val="white"/>
        </w:rPr>
      </w:r>
    </w:p>
    <w:p>
      <w:pPr>
        <w:pStyle w:val="887"/>
        <w:ind w:left="426" w:hanging="426"/>
        <w:rPr>
          <w:color w:val="000000" w:themeColor="text1"/>
          <w:sz w:val="20"/>
          <w:szCs w:val="20"/>
          <w:highlight w:val="white"/>
        </w:rPr>
      </w:pPr>
      <w:r>
        <w:rPr>
          <w:b/>
          <w:color w:val="000000" w:themeColor="text1"/>
          <w:sz w:val="20"/>
          <w:szCs w:val="20"/>
          <w:highlight w:val="white"/>
        </w:rPr>
        <w:t xml:space="preserve">ОБРАЗЕЦ</w:t>
      </w:r>
      <w:r>
        <w:rPr>
          <w:color w:val="000000" w:themeColor="text1"/>
          <w:sz w:val="20"/>
          <w:szCs w:val="20"/>
          <w:highlight w:val="white"/>
        </w:rPr>
      </w:r>
      <w:r>
        <w:rPr>
          <w:color w:val="000000" w:themeColor="text1"/>
          <w:sz w:val="20"/>
          <w:szCs w:val="20"/>
          <w:highlight w:val="white"/>
        </w:rPr>
      </w:r>
    </w:p>
    <w:p>
      <w:pPr>
        <w:pStyle w:val="887"/>
        <w:ind w:left="5811"/>
        <w:jc w:val="right"/>
        <w:rPr>
          <w:color w:val="000000" w:themeColor="text1"/>
          <w:sz w:val="20"/>
          <w:szCs w:val="20"/>
          <w:highlight w:val="white"/>
        </w:rPr>
      </w:pPr>
      <w:r>
        <w:rPr>
          <w:color w:val="000000" w:themeColor="text1"/>
          <w:highlight w:val="white"/>
        </w:rPr>
        <w:t xml:space="preserve"> </w:t>
      </w:r>
      <w:r>
        <w:rPr>
          <w:color w:val="000000" w:themeColor="text1"/>
          <w:sz w:val="20"/>
          <w:szCs w:val="20"/>
          <w:highlight w:val="white"/>
        </w:rPr>
        <w:t xml:space="preserve">Приложение №1.3 </w:t>
      </w:r>
      <w:r>
        <w:rPr>
          <w:color w:val="000000" w:themeColor="text1"/>
          <w:sz w:val="20"/>
          <w:szCs w:val="20"/>
          <w:highlight w:val="white"/>
        </w:rPr>
      </w:r>
      <w:r>
        <w:rPr>
          <w:color w:val="000000" w:themeColor="text1"/>
          <w:sz w:val="20"/>
          <w:szCs w:val="20"/>
          <w:highlight w:val="white"/>
        </w:rPr>
      </w:r>
    </w:p>
    <w:p>
      <w:pPr>
        <w:pStyle w:val="1015"/>
        <w:ind w:left="5811" w:firstLine="720"/>
        <w:rPr>
          <w:rFonts w:ascii="Times New Roman" w:hAnsi="Times New Roman"/>
          <w:color w:val="000000" w:themeColor="text1"/>
          <w:highlight w:val="white"/>
        </w:rPr>
      </w:pPr>
      <w:r>
        <w:rPr>
          <w:rFonts w:ascii="Times New Roman" w:hAnsi="Times New Roman"/>
          <w:color w:val="000000" w:themeColor="text1"/>
          <w:highlight w:val="white"/>
        </w:rPr>
        <w:t xml:space="preserve"> </w:t>
      </w:r>
      <w:r>
        <w:rPr>
          <w:rFonts w:ascii="Times New Roman" w:hAnsi="Times New Roman"/>
          <w:color w:val="000000" w:themeColor="text1"/>
          <w:highlight w:val="white"/>
        </w:rPr>
      </w:r>
      <w:r>
        <w:rPr>
          <w:rFonts w:ascii="Times New Roman" w:hAnsi="Times New Roman"/>
          <w:color w:val="000000" w:themeColor="text1"/>
          <w:highlight w:val="white"/>
        </w:rPr>
      </w:r>
    </w:p>
    <w:p>
      <w:pPr>
        <w:pStyle w:val="1015"/>
        <w:ind w:left="5811" w:firstLine="720"/>
        <w:jc w:val="right"/>
        <w:rPr>
          <w:rFonts w:ascii="Times New Roman" w:hAnsi="Times New Roman"/>
          <w:color w:val="000000" w:themeColor="text1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к Требования к оформлению и составлению документации по ценообразованию</w:t>
      </w:r>
      <w:r>
        <w:rPr>
          <w:rFonts w:ascii="Times New Roman" w:hAnsi="Times New Roman"/>
          <w:color w:val="000000" w:themeColor="text1"/>
          <w:highlight w:val="white"/>
        </w:rPr>
      </w:r>
      <w:r>
        <w:rPr>
          <w:rFonts w:ascii="Times New Roman" w:hAnsi="Times New Roman"/>
          <w:color w:val="000000" w:themeColor="text1"/>
          <w:highlight w:val="white"/>
        </w:rPr>
      </w:r>
    </w:p>
    <w:p>
      <w:pPr>
        <w:pStyle w:val="1015"/>
        <w:ind w:left="5811" w:firstLine="720"/>
        <w:jc w:val="right"/>
        <w:rPr>
          <w:rFonts w:ascii="Times New Roman" w:hAnsi="Times New Roman"/>
          <w:color w:val="000000" w:themeColor="text1"/>
          <w:highlight w:val="white"/>
        </w:rPr>
      </w:pPr>
      <w:r>
        <w:rPr>
          <w:rFonts w:ascii="Times New Roman" w:hAnsi="Times New Roman"/>
          <w:color w:val="000000" w:themeColor="text1"/>
          <w:highlight w:val="white"/>
        </w:rPr>
      </w:r>
      <w:r>
        <w:rPr>
          <w:rFonts w:ascii="Times New Roman" w:hAnsi="Times New Roman"/>
          <w:color w:val="000000" w:themeColor="text1"/>
          <w:highlight w:val="white"/>
        </w:rPr>
      </w:r>
      <w:r>
        <w:rPr>
          <w:rFonts w:ascii="Times New Roman" w:hAnsi="Times New Roman"/>
          <w:color w:val="000000" w:themeColor="text1"/>
          <w:highlight w:val="white"/>
        </w:rPr>
      </w:r>
    </w:p>
    <w:p>
      <w:pPr>
        <w:pStyle w:val="1015"/>
        <w:ind w:left="5811" w:firstLine="720"/>
        <w:jc w:val="right"/>
        <w:rPr>
          <w:rFonts w:ascii="Times New Roman" w:hAnsi="Times New Roman"/>
          <w:color w:val="000000" w:themeColor="text1"/>
          <w:highlight w:val="white"/>
        </w:rPr>
      </w:pPr>
      <w:r>
        <w:rPr>
          <w:rFonts w:ascii="Times New Roman" w:hAnsi="Times New Roman"/>
          <w:color w:val="000000" w:themeColor="text1"/>
          <w:highlight w:val="white"/>
        </w:rPr>
        <w:t xml:space="preserve">Приложение №___</w:t>
      </w:r>
      <w:r>
        <w:rPr>
          <w:rFonts w:ascii="Times New Roman" w:hAnsi="Times New Roman"/>
          <w:color w:val="000000" w:themeColor="text1"/>
          <w:highlight w:val="white"/>
        </w:rPr>
      </w:r>
      <w:r>
        <w:rPr>
          <w:rFonts w:ascii="Times New Roman" w:hAnsi="Times New Roman"/>
          <w:color w:val="000000" w:themeColor="text1"/>
          <w:highlight w:val="white"/>
        </w:rPr>
      </w:r>
    </w:p>
    <w:p>
      <w:pPr>
        <w:pStyle w:val="1015"/>
        <w:ind w:left="5811" w:firstLine="720"/>
        <w:jc w:val="right"/>
        <w:rPr>
          <w:rFonts w:ascii="Times New Roman" w:hAnsi="Times New Roman"/>
          <w:color w:val="000000" w:themeColor="text1"/>
          <w:highlight w:val="white"/>
        </w:rPr>
      </w:pPr>
      <w:r>
        <w:rPr>
          <w:rFonts w:ascii="Times New Roman" w:hAnsi="Times New Roman"/>
          <w:color w:val="000000" w:themeColor="text1"/>
          <w:highlight w:val="white"/>
        </w:rPr>
        <w:t xml:space="preserve">к дополнительному соглашению от ___ № ___</w:t>
      </w:r>
      <w:r>
        <w:rPr>
          <w:rFonts w:ascii="Times New Roman" w:hAnsi="Times New Roman"/>
          <w:color w:val="000000" w:themeColor="text1"/>
          <w:highlight w:val="white"/>
        </w:rPr>
      </w:r>
      <w:r>
        <w:rPr>
          <w:rFonts w:ascii="Times New Roman" w:hAnsi="Times New Roman"/>
          <w:color w:val="000000" w:themeColor="text1"/>
          <w:highlight w:val="white"/>
        </w:rPr>
      </w:r>
    </w:p>
    <w:p>
      <w:pPr>
        <w:pStyle w:val="1015"/>
        <w:ind w:left="5811" w:firstLine="720"/>
        <w:jc w:val="center"/>
        <w:rPr>
          <w:rFonts w:ascii="Times New Roman" w:hAnsi="Times New Roman"/>
          <w:color w:val="000000" w:themeColor="text1"/>
          <w:highlight w:val="white"/>
        </w:rPr>
      </w:pPr>
      <w:r>
        <w:rPr>
          <w:rFonts w:ascii="Times New Roman" w:hAnsi="Times New Roman"/>
          <w:color w:val="000000" w:themeColor="text1"/>
          <w:highlight w:val="white"/>
        </w:rPr>
        <w:t xml:space="preserve">                                   </w:t>
      </w:r>
      <w:r>
        <w:rPr>
          <w:rFonts w:ascii="Times New Roman" w:hAnsi="Times New Roman"/>
          <w:color w:val="000000" w:themeColor="text1"/>
          <w:highlight w:val="white"/>
        </w:rPr>
        <w:t xml:space="preserve">к договору от_______№_____ </w:t>
      </w:r>
      <w:r>
        <w:rPr>
          <w:rFonts w:ascii="Times New Roman" w:hAnsi="Times New Roman"/>
          <w:color w:val="000000" w:themeColor="text1"/>
          <w:highlight w:val="white"/>
        </w:rPr>
      </w:r>
      <w:r>
        <w:rPr>
          <w:rFonts w:ascii="Times New Roman" w:hAnsi="Times New Roman"/>
          <w:color w:val="000000" w:themeColor="text1"/>
          <w:highlight w:val="white"/>
        </w:rPr>
      </w:r>
    </w:p>
    <w:p>
      <w:pPr>
        <w:pStyle w:val="1015"/>
        <w:jc w:val="center"/>
        <w:rPr>
          <w:rFonts w:ascii="Times New Roman" w:hAnsi="Times New Roman"/>
          <w:color w:val="000000" w:themeColor="text1"/>
          <w:highlight w:val="white"/>
        </w:rPr>
      </w:pPr>
      <w:r>
        <w:rPr>
          <w:rFonts w:ascii="Times New Roman" w:hAnsi="Times New Roman"/>
          <w:color w:val="000000" w:themeColor="text1"/>
          <w:highlight w:val="white"/>
        </w:rPr>
      </w:r>
      <w:r>
        <w:rPr>
          <w:rFonts w:ascii="Times New Roman" w:hAnsi="Times New Roman"/>
          <w:color w:val="000000" w:themeColor="text1"/>
          <w:highlight w:val="white"/>
        </w:rPr>
      </w:r>
      <w:r>
        <w:rPr>
          <w:rFonts w:ascii="Times New Roman" w:hAnsi="Times New Roman"/>
          <w:color w:val="000000" w:themeColor="text1"/>
          <w:highlight w:val="white"/>
        </w:rPr>
      </w:r>
    </w:p>
    <w:p>
      <w:pPr>
        <w:pStyle w:val="887"/>
        <w:jc w:val="center"/>
        <w:widowControl w:val="off"/>
        <w:rPr>
          <w:b/>
          <w:color w:val="000000" w:themeColor="text1"/>
          <w:sz w:val="20"/>
          <w:szCs w:val="20"/>
          <w:highlight w:val="white"/>
        </w:rPr>
      </w:pPr>
      <w:r>
        <w:rPr>
          <w:b/>
          <w:color w:val="000000" w:themeColor="text1"/>
          <w:sz w:val="20"/>
          <w:szCs w:val="20"/>
          <w:highlight w:val="white"/>
        </w:rPr>
        <w:t xml:space="preserve">Сопоставительная ведомость изменения сметной стоимости</w:t>
      </w:r>
      <w:r>
        <w:rPr>
          <w:b/>
          <w:color w:val="000000" w:themeColor="text1"/>
          <w:sz w:val="20"/>
          <w:szCs w:val="20"/>
          <w:highlight w:val="white"/>
        </w:rPr>
      </w:r>
      <w:r>
        <w:rPr>
          <w:b/>
          <w:color w:val="000000" w:themeColor="text1"/>
          <w:sz w:val="20"/>
          <w:szCs w:val="20"/>
          <w:highlight w:val="white"/>
        </w:rPr>
      </w:r>
    </w:p>
    <w:p>
      <w:pPr>
        <w:pStyle w:val="887"/>
        <w:jc w:val="both"/>
        <w:widowControl w:val="off"/>
        <w:rPr>
          <w:b/>
          <w:color w:val="000000" w:themeColor="text1"/>
          <w:sz w:val="20"/>
          <w:szCs w:val="20"/>
          <w:highlight w:val="white"/>
        </w:rPr>
      </w:pPr>
      <w:r>
        <w:rPr>
          <w:b/>
          <w:color w:val="000000" w:themeColor="text1"/>
          <w:sz w:val="20"/>
          <w:szCs w:val="20"/>
          <w:highlight w:val="white"/>
        </w:rPr>
      </w:r>
      <w:r>
        <w:rPr>
          <w:b/>
          <w:color w:val="000000" w:themeColor="text1"/>
          <w:sz w:val="20"/>
          <w:szCs w:val="20"/>
          <w:highlight w:val="white"/>
        </w:rPr>
      </w:r>
      <w:r>
        <w:rPr>
          <w:b/>
          <w:color w:val="000000" w:themeColor="text1"/>
          <w:sz w:val="20"/>
          <w:szCs w:val="20"/>
          <w:highlight w:val="white"/>
        </w:rPr>
      </w:r>
    </w:p>
    <w:tbl>
      <w:tblPr>
        <w:tblW w:w="10206" w:type="dxa"/>
        <w:tblInd w:w="488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424"/>
        <w:gridCol w:w="850"/>
        <w:gridCol w:w="851"/>
        <w:gridCol w:w="1276"/>
        <w:gridCol w:w="1276"/>
        <w:gridCol w:w="1701"/>
        <w:gridCol w:w="1702"/>
        <w:gridCol w:w="2124"/>
      </w:tblGrid>
      <w:tr>
        <w:tblPrEx/>
        <w:trPr>
          <w:trHeight w:val="43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4" w:type="dxa"/>
            <w:vMerge w:val="restart"/>
            <w:textDirection w:val="lrTb"/>
            <w:noWrap w:val="false"/>
          </w:tcPr>
          <w:p>
            <w:pPr>
              <w:pStyle w:val="887"/>
              <w:jc w:val="center"/>
              <w:widowControl w:val="off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№ 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п/п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7" w:type="dxa"/>
            <w:textDirection w:val="lrTb"/>
            <w:noWrap w:val="false"/>
          </w:tcPr>
          <w:p>
            <w:pPr>
              <w:pStyle w:val="887"/>
              <w:jc w:val="center"/>
              <w:widowControl w:val="off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Данные сметного расчета (сметы)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7" w:type="dxa"/>
            <w:textDirection w:val="lrTb"/>
            <w:noWrap w:val="false"/>
          </w:tcPr>
          <w:p>
            <w:pPr>
              <w:pStyle w:val="887"/>
              <w:jc w:val="center"/>
              <w:widowControl w:val="off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Сметная стоимость, тыс. руб.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2" w:type="dxa"/>
            <w:vMerge w:val="restart"/>
            <w:textDirection w:val="lrTb"/>
            <w:noWrap w:val="false"/>
          </w:tcPr>
          <w:p>
            <w:pPr>
              <w:pStyle w:val="887"/>
              <w:jc w:val="center"/>
              <w:widowControl w:val="off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Разница в сметной стоимости, руб.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4" w:type="dxa"/>
            <w:vMerge w:val="restart"/>
            <w:textDirection w:val="lrTb"/>
            <w:noWrap w:val="false"/>
          </w:tcPr>
          <w:p>
            <w:pPr>
              <w:pStyle w:val="887"/>
              <w:jc w:val="center"/>
              <w:widowControl w:val="off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Обоснование изменений сметной стоимости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4" w:type="dxa"/>
            <w:vMerge w:val="continue"/>
            <w:textDirection w:val="lrTb"/>
            <w:noWrap w:val="false"/>
          </w:tcPr>
          <w:p>
            <w:pPr>
              <w:pStyle w:val="887"/>
              <w:spacing w:before="0" w:after="160" w:line="259" w:lineRule="auto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887"/>
              <w:jc w:val="center"/>
              <w:widowControl w:val="off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шифр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887"/>
              <w:jc w:val="center"/>
              <w:widowControl w:val="off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наименование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887"/>
              <w:jc w:val="center"/>
              <w:widowControl w:val="off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№ 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позиции сметного расчета (сметы) в ССР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887"/>
              <w:jc w:val="center"/>
              <w:widowControl w:val="off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подлежащая включению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87"/>
              <w:jc w:val="center"/>
              <w:widowControl w:val="off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подлежащая исключению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2" w:type="dxa"/>
            <w:vMerge w:val="continue"/>
            <w:textDirection w:val="lrTb"/>
            <w:noWrap w:val="false"/>
          </w:tcPr>
          <w:p>
            <w:pPr>
              <w:pStyle w:val="887"/>
              <w:spacing w:before="0" w:after="160" w:line="259" w:lineRule="auto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4" w:type="dxa"/>
            <w:vMerge w:val="continue"/>
            <w:textDirection w:val="lrTb"/>
            <w:noWrap w:val="false"/>
          </w:tcPr>
          <w:p>
            <w:pPr>
              <w:pStyle w:val="887"/>
              <w:spacing w:before="0" w:after="160" w:line="259" w:lineRule="auto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4" w:type="dxa"/>
            <w:textDirection w:val="lrTb"/>
            <w:noWrap w:val="false"/>
          </w:tcPr>
          <w:p>
            <w:pPr>
              <w:pStyle w:val="887"/>
              <w:jc w:val="center"/>
              <w:widowControl w:val="off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1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887"/>
              <w:jc w:val="center"/>
              <w:widowControl w:val="off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2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887"/>
              <w:jc w:val="center"/>
              <w:widowControl w:val="off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3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887"/>
              <w:jc w:val="center"/>
              <w:widowControl w:val="off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4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887"/>
              <w:jc w:val="center"/>
              <w:widowControl w:val="off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5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87"/>
              <w:jc w:val="center"/>
              <w:widowControl w:val="off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6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2" w:type="dxa"/>
            <w:textDirection w:val="lrTb"/>
            <w:noWrap w:val="false"/>
          </w:tcPr>
          <w:p>
            <w:pPr>
              <w:pStyle w:val="887"/>
              <w:jc w:val="center"/>
              <w:widowControl w:val="off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7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4" w:type="dxa"/>
            <w:textDirection w:val="lrTb"/>
            <w:noWrap w:val="false"/>
          </w:tcPr>
          <w:p>
            <w:pPr>
              <w:pStyle w:val="887"/>
              <w:jc w:val="center"/>
              <w:widowControl w:val="off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8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4" w:type="dxa"/>
            <w:textDirection w:val="lrTb"/>
            <w:noWrap w:val="false"/>
          </w:tcPr>
          <w:p>
            <w:pPr>
              <w:pStyle w:val="887"/>
              <w:widowControl w:val="off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887"/>
              <w:widowControl w:val="off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887"/>
              <w:widowControl w:val="off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887"/>
              <w:widowControl w:val="off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887"/>
              <w:widowControl w:val="off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87"/>
              <w:widowControl w:val="off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2" w:type="dxa"/>
            <w:textDirection w:val="lrTb"/>
            <w:noWrap w:val="false"/>
          </w:tcPr>
          <w:p>
            <w:pPr>
              <w:pStyle w:val="887"/>
              <w:widowControl w:val="off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4" w:type="dxa"/>
            <w:textDirection w:val="lrTb"/>
            <w:noWrap w:val="false"/>
          </w:tcPr>
          <w:p>
            <w:pPr>
              <w:pStyle w:val="887"/>
              <w:widowControl w:val="off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</w:tr>
    </w:tbl>
    <w:p>
      <w:pPr>
        <w:pStyle w:val="887"/>
        <w:jc w:val="both"/>
        <w:widowControl w:val="off"/>
        <w:rPr>
          <w:color w:val="000000" w:themeColor="text1"/>
          <w:sz w:val="20"/>
          <w:szCs w:val="20"/>
          <w:highlight w:val="white"/>
        </w:rPr>
      </w:pPr>
      <w:r>
        <w:rPr>
          <w:color w:val="000000" w:themeColor="text1"/>
          <w:sz w:val="20"/>
          <w:szCs w:val="20"/>
          <w:highlight w:val="white"/>
        </w:rPr>
      </w:r>
      <w:r>
        <w:rPr>
          <w:color w:val="000000" w:themeColor="text1"/>
          <w:sz w:val="20"/>
          <w:szCs w:val="20"/>
          <w:highlight w:val="white"/>
        </w:rPr>
      </w:r>
      <w:r>
        <w:rPr>
          <w:color w:val="000000" w:themeColor="text1"/>
          <w:sz w:val="20"/>
          <w:szCs w:val="20"/>
          <w:highlight w:val="white"/>
        </w:rPr>
      </w:r>
    </w:p>
    <w:p>
      <w:pPr>
        <w:pStyle w:val="887"/>
        <w:ind w:left="357"/>
        <w:jc w:val="right"/>
        <w:rPr>
          <w:color w:val="000000" w:themeColor="text1"/>
          <w:sz w:val="20"/>
          <w:szCs w:val="20"/>
          <w:highlight w:val="white"/>
        </w:rPr>
      </w:pPr>
      <w:r>
        <w:rPr>
          <w:color w:val="000000" w:themeColor="text1"/>
          <w:sz w:val="20"/>
          <w:szCs w:val="20"/>
          <w:highlight w:val="white"/>
        </w:rPr>
      </w:r>
      <w:r>
        <w:rPr>
          <w:color w:val="000000" w:themeColor="text1"/>
          <w:highlight w:val="white"/>
        </w:rPr>
        <w:br w:type="page" w:clear="all"/>
      </w:r>
      <w:r>
        <w:rPr>
          <w:color w:val="000000" w:themeColor="text1"/>
          <w:sz w:val="20"/>
          <w:szCs w:val="20"/>
          <w:highlight w:val="white"/>
        </w:rPr>
      </w:r>
      <w:r>
        <w:rPr>
          <w:color w:val="000000" w:themeColor="text1"/>
          <w:sz w:val="20"/>
          <w:szCs w:val="20"/>
          <w:highlight w:val="white"/>
        </w:rPr>
      </w:r>
    </w:p>
    <w:p>
      <w:pPr>
        <w:pStyle w:val="887"/>
        <w:ind w:left="357"/>
        <w:jc w:val="right"/>
        <w:spacing w:before="0" w:after="0"/>
        <w:rPr>
          <w:color w:val="000000" w:themeColor="text1"/>
          <w:sz w:val="20"/>
          <w:szCs w:val="20"/>
          <w:highlight w:val="white"/>
        </w:rPr>
      </w:pPr>
      <w:r>
        <w:rPr>
          <w:color w:val="000000" w:themeColor="text1"/>
          <w:sz w:val="20"/>
          <w:szCs w:val="20"/>
          <w:highlight w:val="white"/>
        </w:rPr>
        <w:t xml:space="preserve">Приложение №1.4 </w:t>
      </w:r>
      <w:r>
        <w:rPr>
          <w:color w:val="000000" w:themeColor="text1"/>
          <w:sz w:val="20"/>
          <w:szCs w:val="20"/>
          <w:highlight w:val="white"/>
        </w:rPr>
      </w:r>
      <w:r>
        <w:rPr>
          <w:color w:val="000000" w:themeColor="text1"/>
          <w:sz w:val="20"/>
          <w:szCs w:val="20"/>
          <w:highlight w:val="white"/>
        </w:rPr>
      </w:r>
    </w:p>
    <w:p>
      <w:pPr>
        <w:pStyle w:val="1015"/>
        <w:ind w:left="5811" w:firstLine="720"/>
        <w:jc w:val="right"/>
        <w:rPr>
          <w:rFonts w:ascii="Times New Roman" w:hAnsi="Times New Roman"/>
          <w:color w:val="000000" w:themeColor="text1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к Требования к оформлению и составлению документации по ценообразованию</w:t>
      </w:r>
      <w:r>
        <w:rPr>
          <w:rFonts w:ascii="Times New Roman" w:hAnsi="Times New Roman"/>
          <w:color w:val="000000" w:themeColor="text1"/>
          <w:highlight w:val="white"/>
        </w:rPr>
      </w:r>
      <w:r>
        <w:rPr>
          <w:rFonts w:ascii="Times New Roman" w:hAnsi="Times New Roman"/>
          <w:color w:val="000000" w:themeColor="text1"/>
          <w:highlight w:val="white"/>
        </w:rPr>
      </w:r>
    </w:p>
    <w:p>
      <w:pPr>
        <w:pStyle w:val="1015"/>
        <w:ind w:left="5811" w:firstLine="720"/>
        <w:jc w:val="right"/>
        <w:rPr>
          <w:rFonts w:ascii="Times New Roman" w:hAnsi="Times New Roman"/>
          <w:color w:val="000000" w:themeColor="text1"/>
          <w:highlight w:val="white"/>
        </w:rPr>
      </w:pPr>
      <w:r>
        <w:rPr>
          <w:rFonts w:ascii="Times New Roman" w:hAnsi="Times New Roman"/>
          <w:color w:val="000000" w:themeColor="text1"/>
          <w:highlight w:val="white"/>
        </w:rPr>
        <w:t xml:space="preserve">Приложение №___</w:t>
      </w:r>
      <w:r>
        <w:rPr>
          <w:rFonts w:ascii="Times New Roman" w:hAnsi="Times New Roman"/>
          <w:color w:val="000000" w:themeColor="text1"/>
          <w:highlight w:val="white"/>
        </w:rPr>
      </w:r>
      <w:r>
        <w:rPr>
          <w:rFonts w:ascii="Times New Roman" w:hAnsi="Times New Roman"/>
          <w:color w:val="000000" w:themeColor="text1"/>
          <w:highlight w:val="white"/>
        </w:rPr>
      </w:r>
    </w:p>
    <w:p>
      <w:pPr>
        <w:pStyle w:val="1015"/>
        <w:ind w:left="5811" w:firstLine="720"/>
        <w:jc w:val="right"/>
        <w:rPr>
          <w:rFonts w:ascii="Times New Roman" w:hAnsi="Times New Roman"/>
          <w:color w:val="000000" w:themeColor="text1"/>
          <w:highlight w:val="white"/>
        </w:rPr>
      </w:pPr>
      <w:r>
        <w:rPr>
          <w:rFonts w:ascii="Times New Roman" w:hAnsi="Times New Roman"/>
          <w:color w:val="000000" w:themeColor="text1"/>
          <w:highlight w:val="white"/>
        </w:rPr>
        <w:t xml:space="preserve">к дополнительному соглашению от ___ № ___</w:t>
      </w:r>
      <w:r>
        <w:rPr>
          <w:rFonts w:ascii="Times New Roman" w:hAnsi="Times New Roman"/>
          <w:color w:val="000000" w:themeColor="text1"/>
          <w:highlight w:val="white"/>
        </w:rPr>
      </w:r>
      <w:r>
        <w:rPr>
          <w:rFonts w:ascii="Times New Roman" w:hAnsi="Times New Roman"/>
          <w:color w:val="000000" w:themeColor="text1"/>
          <w:highlight w:val="white"/>
        </w:rPr>
      </w:r>
    </w:p>
    <w:p>
      <w:pPr>
        <w:pStyle w:val="1015"/>
        <w:ind w:left="5811" w:firstLine="720"/>
        <w:jc w:val="center"/>
        <w:rPr>
          <w:rFonts w:ascii="Times New Roman" w:hAnsi="Times New Roman"/>
          <w:color w:val="000000" w:themeColor="text1"/>
          <w:highlight w:val="white"/>
        </w:rPr>
      </w:pPr>
      <w:r>
        <w:rPr>
          <w:rFonts w:ascii="Times New Roman" w:hAnsi="Times New Roman"/>
          <w:color w:val="000000" w:themeColor="text1"/>
          <w:highlight w:val="white"/>
        </w:rPr>
        <w:t xml:space="preserve">к договору от_______№_____ </w:t>
      </w:r>
      <w:r>
        <w:rPr>
          <w:rFonts w:ascii="Times New Roman" w:hAnsi="Times New Roman"/>
          <w:color w:val="000000" w:themeColor="text1"/>
          <w:highlight w:val="white"/>
        </w:rPr>
      </w:r>
      <w:r>
        <w:rPr>
          <w:rFonts w:ascii="Times New Roman" w:hAnsi="Times New Roman"/>
          <w:color w:val="000000" w:themeColor="text1"/>
          <w:highlight w:val="white"/>
        </w:rPr>
      </w:r>
    </w:p>
    <w:p>
      <w:pPr>
        <w:pStyle w:val="887"/>
        <w:jc w:val="both"/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pStyle w:val="887"/>
        <w:jc w:val="both"/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pStyle w:val="887"/>
        <w:jc w:val="both"/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pStyle w:val="887"/>
        <w:jc w:val="both"/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pStyle w:val="887"/>
        <w:jc w:val="both"/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pStyle w:val="1015"/>
        <w:jc w:val="center"/>
        <w:rPr>
          <w:rFonts w:ascii="Times New Roman" w:hAnsi="Times New Roman" w:cs="Times New Roman"/>
          <w:b/>
          <w:color w:val="000000" w:themeColor="text1"/>
          <w:highlight w:val="white"/>
        </w:rPr>
      </w:pPr>
      <w:r>
        <w:rPr>
          <w:rFonts w:ascii="Times New Roman" w:hAnsi="Times New Roman" w:cs="Times New Roman"/>
          <w:b/>
          <w:color w:val="000000" w:themeColor="text1"/>
          <w:highlight w:val="white"/>
        </w:rPr>
        <w:t xml:space="preserve">Сопоставительная ведомость объемов работ</w:t>
      </w:r>
      <w:r>
        <w:rPr>
          <w:rFonts w:ascii="Times New Roman" w:hAnsi="Times New Roman" w:cs="Times New Roman"/>
          <w:b/>
          <w:color w:val="000000" w:themeColor="text1"/>
          <w:highlight w:val="white"/>
        </w:rPr>
      </w:r>
      <w:r>
        <w:rPr>
          <w:rFonts w:ascii="Times New Roman" w:hAnsi="Times New Roman" w:cs="Times New Roman"/>
          <w:b/>
          <w:color w:val="000000" w:themeColor="text1"/>
          <w:highlight w:val="white"/>
        </w:rPr>
      </w:r>
    </w:p>
    <w:p>
      <w:pPr>
        <w:pStyle w:val="1015"/>
        <w:jc w:val="both"/>
        <w:rPr>
          <w:b/>
          <w:color w:val="000000" w:themeColor="text1"/>
          <w:highlight w:val="white"/>
        </w:rPr>
      </w:pPr>
      <w:r>
        <w:rPr>
          <w:b/>
          <w:color w:val="000000" w:themeColor="text1"/>
          <w:highlight w:val="white"/>
        </w:rPr>
      </w:r>
      <w:r>
        <w:rPr>
          <w:b/>
          <w:color w:val="000000" w:themeColor="text1"/>
          <w:highlight w:val="white"/>
        </w:rPr>
      </w:r>
      <w:r>
        <w:rPr>
          <w:b/>
          <w:color w:val="000000" w:themeColor="text1"/>
          <w:highlight w:val="white"/>
        </w:rPr>
      </w:r>
    </w:p>
    <w:tbl>
      <w:tblPr>
        <w:tblW w:w="10773" w:type="dxa"/>
        <w:tblInd w:w="204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425"/>
        <w:gridCol w:w="709"/>
        <w:gridCol w:w="851"/>
        <w:gridCol w:w="1208"/>
        <w:gridCol w:w="916"/>
        <w:gridCol w:w="851"/>
        <w:gridCol w:w="852"/>
        <w:gridCol w:w="851"/>
        <w:gridCol w:w="851"/>
        <w:gridCol w:w="707"/>
        <w:gridCol w:w="567"/>
        <w:gridCol w:w="850"/>
        <w:gridCol w:w="1134"/>
      </w:tblGrid>
      <w:tr>
        <w:tblPrEx/>
        <w:trPr>
          <w:trHeight w:val="88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" w:type="dxa"/>
            <w:vMerge w:val="restart"/>
            <w:textDirection w:val="lrTb"/>
            <w:noWrap w:val="false"/>
          </w:tcPr>
          <w:p>
            <w:pPr>
              <w:pStyle w:val="1015"/>
              <w:ind w:left="-62"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 xml:space="preserve">№№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 xml:space="preserve">пп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84" w:type="dxa"/>
            <w:textDirection w:val="lrTb"/>
            <w:noWrap w:val="false"/>
          </w:tcPr>
          <w:p>
            <w:pPr>
              <w:pStyle w:val="1015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 xml:space="preserve">Данные сметного расчета (сметы)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1015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 xml:space="preserve">Наименование работ и затрат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textDirection w:val="lrTb"/>
            <w:noWrap w:val="false"/>
          </w:tcPr>
          <w:p>
            <w:pPr>
              <w:pStyle w:val="1015"/>
              <w:ind w:hanging="6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 xml:space="preserve">Ед. изм.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2" w:type="dxa"/>
            <w:vMerge w:val="restart"/>
            <w:textDirection w:val="lrTb"/>
            <w:noWrap w:val="false"/>
          </w:tcPr>
          <w:p>
            <w:pPr>
              <w:pStyle w:val="1015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 xml:space="preserve">Объем работ в сметной документации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4" w:type="dxa"/>
            <w:vMerge w:val="restart"/>
            <w:textDirection w:val="lrTb"/>
            <w:noWrap w:val="false"/>
          </w:tcPr>
          <w:p>
            <w:pPr>
              <w:pStyle w:val="1015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 xml:space="preserve">Изменение объемов работ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1015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 xml:space="preserve">Обоснование изменений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1015"/>
              <w:ind w:left="1360" w:hanging="1416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 xml:space="preserve">Примечание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</w:p>
        </w:tc>
      </w:tr>
      <w:tr>
        <w:tblPrEx/>
        <w:trPr>
          <w:trHeight w:val="20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" w:type="dxa"/>
            <w:vMerge w:val="continue"/>
            <w:textDirection w:val="lrTb"/>
            <w:noWrap w:val="false"/>
          </w:tcPr>
          <w:p>
            <w:pPr>
              <w:pStyle w:val="88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restart"/>
            <w:textDirection w:val="lrTb"/>
            <w:noWrap w:val="false"/>
          </w:tcPr>
          <w:p>
            <w:pPr>
              <w:pStyle w:val="1015"/>
              <w:ind w:left="-797" w:firstLine="72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 xml:space="preserve">шифр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vMerge w:val="restart"/>
            <w:textDirection w:val="lrTb"/>
            <w:noWrap w:val="false"/>
          </w:tcPr>
          <w:p>
            <w:pPr>
              <w:pStyle w:val="1015"/>
              <w:ind w:left="-64"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 xml:space="preserve">Наименование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4" w:type="dxa"/>
            <w:textDirection w:val="lrTb"/>
            <w:noWrap w:val="false"/>
          </w:tcPr>
          <w:p>
            <w:pPr>
              <w:pStyle w:val="1015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 xml:space="preserve">№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 xml:space="preserve">позиции в сметном расчете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vMerge w:val="restart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vMerge w:val="restart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2" w:type="dxa"/>
            <w:vMerge w:val="continue"/>
            <w:textDirection w:val="lrTb"/>
            <w:noWrap w:val="false"/>
          </w:tcPr>
          <w:p>
            <w:pPr>
              <w:pStyle w:val="88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4" w:type="dxa"/>
            <w:vMerge w:val="continue"/>
            <w:textDirection w:val="lrTb"/>
            <w:noWrap w:val="false"/>
          </w:tcPr>
          <w:p>
            <w:pPr>
              <w:pStyle w:val="88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</w:tr>
      <w:tr>
        <w:tblPrEx/>
        <w:trPr>
          <w:trHeight w:val="130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" w:type="dxa"/>
            <w:vMerge w:val="continue"/>
            <w:textDirection w:val="lrTb"/>
            <w:noWrap w:val="false"/>
          </w:tcPr>
          <w:p>
            <w:pPr>
              <w:pStyle w:val="88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pPr>
              <w:pStyle w:val="88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vMerge w:val="continue"/>
            <w:textDirection w:val="lrTb"/>
            <w:noWrap w:val="false"/>
          </w:tcPr>
          <w:p>
            <w:pPr>
              <w:pStyle w:val="88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08" w:type="dxa"/>
            <w:textDirection w:val="lrTb"/>
            <w:noWrap w:val="false"/>
          </w:tcPr>
          <w:p>
            <w:pPr>
              <w:pStyle w:val="1015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 xml:space="preserve">до изменений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16" w:type="dxa"/>
            <w:textDirection w:val="lrTb"/>
            <w:noWrap w:val="false"/>
          </w:tcPr>
          <w:p>
            <w:pPr>
              <w:pStyle w:val="1015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 xml:space="preserve">с учетом изменений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vMerge w:val="continue"/>
            <w:textDirection w:val="lrTb"/>
            <w:noWrap w:val="false"/>
          </w:tcPr>
          <w:p>
            <w:pPr>
              <w:pStyle w:val="88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vMerge w:val="continue"/>
            <w:textDirection w:val="lrTb"/>
            <w:noWrap w:val="false"/>
          </w:tcPr>
          <w:p>
            <w:pPr>
              <w:pStyle w:val="88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1015"/>
              <w:ind w:firstLine="79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 xml:space="preserve">до изменений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1015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 xml:space="preserve">с учетом изменений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7" w:type="dxa"/>
            <w:textDirection w:val="lrTb"/>
            <w:noWrap w:val="false"/>
          </w:tcPr>
          <w:p>
            <w:pPr>
              <w:pStyle w:val="1015"/>
              <w:ind w:left="-800" w:firstLine="72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 xml:space="preserve">увели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</w:p>
          <w:p>
            <w:pPr>
              <w:pStyle w:val="1015"/>
              <w:ind w:left="-800" w:firstLine="72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 xml:space="preserve">чение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1015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 xml:space="preserve">снижение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continue"/>
            <w:textDirection w:val="lrTb"/>
            <w:noWrap w:val="false"/>
          </w:tcPr>
          <w:p>
            <w:pPr>
              <w:pStyle w:val="88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continue"/>
            <w:textDirection w:val="lrTb"/>
            <w:noWrap w:val="false"/>
          </w:tcPr>
          <w:p>
            <w:pPr>
              <w:pStyle w:val="88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23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" w:type="dxa"/>
            <w:textDirection w:val="lrTb"/>
            <w:noWrap w:val="false"/>
          </w:tcPr>
          <w:p>
            <w:pPr>
              <w:pStyle w:val="1015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1015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1015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08" w:type="dxa"/>
            <w:textDirection w:val="lrTb"/>
            <w:noWrap w:val="false"/>
          </w:tcPr>
          <w:p>
            <w:pPr>
              <w:pStyle w:val="1015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16" w:type="dxa"/>
            <w:textDirection w:val="lrTb"/>
            <w:noWrap w:val="false"/>
          </w:tcPr>
          <w:p>
            <w:pPr>
              <w:pStyle w:val="1015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1015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textDirection w:val="lrTb"/>
            <w:noWrap w:val="false"/>
          </w:tcPr>
          <w:p>
            <w:pPr>
              <w:pStyle w:val="1015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1015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1015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7" w:type="dxa"/>
            <w:textDirection w:val="lrTb"/>
            <w:noWrap w:val="false"/>
          </w:tcPr>
          <w:p>
            <w:pPr>
              <w:pStyle w:val="1015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1015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1015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1015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</w:p>
        </w:tc>
      </w:tr>
    </w:tbl>
    <w:p>
      <w:pPr>
        <w:rPr>
          <w:color w:val="000000" w:themeColor="text1"/>
          <w:highlight w:val="white"/>
        </w:rPr>
        <w:sectPr>
          <w:footnotePr/>
          <w:endnotePr/>
          <w:type w:val="nextPage"/>
          <w:pgSz w:w="11906" w:h="16838" w:orient="portrait"/>
          <w:pgMar w:top="284" w:right="924" w:bottom="720" w:left="426" w:header="0" w:footer="0" w:gutter="0"/>
          <w:cols w:num="1" w:sep="0" w:space="1701" w:equalWidth="1"/>
          <w:docGrid w:linePitch="360"/>
        </w:sectPr>
      </w:pP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pStyle w:val="1015"/>
        <w:jc w:val="both"/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pStyle w:val="887"/>
        <w:ind w:left="5811"/>
        <w:jc w:val="right"/>
        <w:rPr>
          <w:color w:val="000000" w:themeColor="text1"/>
          <w:sz w:val="20"/>
          <w:szCs w:val="20"/>
          <w:highlight w:val="white"/>
        </w:rPr>
      </w:pPr>
      <w:r>
        <w:rPr>
          <w:color w:val="000000" w:themeColor="text1"/>
          <w:sz w:val="20"/>
          <w:szCs w:val="20"/>
          <w:highlight w:val="white"/>
        </w:rPr>
        <w:t xml:space="preserve">Приложение№1.5 </w:t>
      </w:r>
      <w:r>
        <w:rPr>
          <w:color w:val="000000" w:themeColor="text1"/>
          <w:sz w:val="20"/>
          <w:szCs w:val="20"/>
          <w:highlight w:val="white"/>
        </w:rPr>
      </w:r>
      <w:r>
        <w:rPr>
          <w:color w:val="000000" w:themeColor="text1"/>
          <w:sz w:val="20"/>
          <w:szCs w:val="20"/>
          <w:highlight w:val="white"/>
        </w:rPr>
      </w:r>
    </w:p>
    <w:p>
      <w:pPr>
        <w:pStyle w:val="887"/>
        <w:ind w:left="5811"/>
        <w:jc w:val="right"/>
        <w:rPr>
          <w:color w:val="000000" w:themeColor="text1"/>
          <w:sz w:val="20"/>
          <w:szCs w:val="20"/>
          <w:highlight w:val="white"/>
        </w:rPr>
      </w:pPr>
      <w:r>
        <w:rPr>
          <w:color w:val="000000" w:themeColor="text1"/>
          <w:sz w:val="20"/>
          <w:szCs w:val="20"/>
          <w:highlight w:val="white"/>
        </w:rPr>
        <w:t xml:space="preserve">                                                                                                                                                                                                </w:t>
      </w:r>
      <w:r>
        <w:rPr>
          <w:color w:val="000000" w:themeColor="text1"/>
          <w:sz w:val="20"/>
          <w:szCs w:val="20"/>
          <w:highlight w:val="white"/>
        </w:rPr>
      </w:r>
      <w:r>
        <w:rPr>
          <w:color w:val="000000" w:themeColor="text1"/>
          <w:sz w:val="20"/>
          <w:szCs w:val="20"/>
          <w:highlight w:val="white"/>
        </w:rPr>
      </w:r>
    </w:p>
    <w:p>
      <w:pPr>
        <w:pStyle w:val="887"/>
        <w:ind w:firstLine="10348"/>
        <w:jc w:val="right"/>
        <w:rPr>
          <w:b/>
          <w:color w:val="000000" w:themeColor="text1"/>
          <w:sz w:val="20"/>
          <w:szCs w:val="20"/>
          <w:highlight w:val="white"/>
        </w:rPr>
      </w:pPr>
      <w:r>
        <w:rPr>
          <w:rFonts w:cs="Times New Roman"/>
          <w:color w:val="000000" w:themeColor="text1"/>
          <w:sz w:val="22"/>
          <w:szCs w:val="22"/>
          <w:highlight w:val="white"/>
        </w:rPr>
        <w:t xml:space="preserve">к Требования к оформлению и составлению документации по ценообразованию</w:t>
      </w:r>
      <w:r>
        <w:rPr>
          <w:b/>
          <w:color w:val="000000" w:themeColor="text1"/>
          <w:sz w:val="20"/>
          <w:szCs w:val="20"/>
          <w:highlight w:val="white"/>
        </w:rPr>
        <w:t xml:space="preserve"> </w:t>
      </w:r>
      <w:r>
        <w:rPr>
          <w:b/>
          <w:color w:val="000000" w:themeColor="text1"/>
          <w:sz w:val="20"/>
          <w:szCs w:val="20"/>
          <w:highlight w:val="white"/>
        </w:rPr>
      </w:r>
      <w:r>
        <w:rPr>
          <w:b/>
          <w:color w:val="000000" w:themeColor="text1"/>
          <w:sz w:val="20"/>
          <w:szCs w:val="20"/>
          <w:highlight w:val="white"/>
        </w:rPr>
      </w:r>
    </w:p>
    <w:p>
      <w:pPr>
        <w:pStyle w:val="887"/>
        <w:rPr>
          <w:b/>
          <w:color w:val="000000" w:themeColor="text1"/>
          <w:sz w:val="20"/>
          <w:szCs w:val="20"/>
          <w:highlight w:val="white"/>
        </w:rPr>
      </w:pPr>
      <w:r>
        <w:rPr>
          <w:b/>
          <w:color w:val="000000" w:themeColor="text1"/>
          <w:sz w:val="20"/>
          <w:szCs w:val="20"/>
          <w:highlight w:val="white"/>
        </w:rPr>
        <w:t xml:space="preserve">ОБРАЗЕЦ</w:t>
      </w:r>
      <w:r>
        <w:rPr>
          <w:b/>
          <w:color w:val="000000" w:themeColor="text1"/>
          <w:sz w:val="20"/>
          <w:szCs w:val="20"/>
          <w:highlight w:val="white"/>
        </w:rPr>
      </w:r>
      <w:r>
        <w:rPr>
          <w:b/>
          <w:color w:val="000000" w:themeColor="text1"/>
          <w:sz w:val="20"/>
          <w:szCs w:val="20"/>
          <w:highlight w:val="white"/>
        </w:rPr>
      </w:r>
    </w:p>
    <w:p>
      <w:pPr>
        <w:pStyle w:val="887"/>
        <w:rPr>
          <w:color w:val="000000" w:themeColor="text1"/>
          <w:sz w:val="20"/>
          <w:szCs w:val="20"/>
          <w:highlight w:val="white"/>
        </w:rPr>
      </w:pPr>
      <w:r>
        <w:rPr>
          <w:color w:val="000000" w:themeColor="text1"/>
          <w:sz w:val="20"/>
          <w:szCs w:val="20"/>
          <w:highlight w:val="white"/>
        </w:rPr>
      </w:r>
      <w:r>
        <w:rPr>
          <w:color w:val="000000" w:themeColor="text1"/>
          <w:sz w:val="20"/>
          <w:szCs w:val="20"/>
          <w:highlight w:val="white"/>
        </w:rPr>
      </w:r>
      <w:r>
        <w:rPr>
          <w:color w:val="000000" w:themeColor="text1"/>
          <w:sz w:val="20"/>
          <w:szCs w:val="20"/>
          <w:highlight w:val="white"/>
        </w:rPr>
      </w:r>
    </w:p>
    <w:p>
      <w:pPr>
        <w:pStyle w:val="887"/>
        <w:rPr>
          <w:b/>
          <w:color w:val="000000" w:themeColor="text1"/>
          <w:sz w:val="20"/>
          <w:szCs w:val="20"/>
          <w:highlight w:val="white"/>
        </w:rPr>
        <w:sectPr>
          <w:footnotePr/>
          <w:endnotePr/>
          <w:type w:val="nextPage"/>
          <w:pgSz w:w="16838" w:h="11906" w:orient="landscape"/>
          <w:pgMar w:top="426" w:right="253" w:bottom="924" w:left="720" w:header="0" w:footer="0" w:gutter="0"/>
          <w:cols w:num="1" w:sep="0" w:space="1701" w:equalWidth="1"/>
          <w:docGrid w:linePitch="360"/>
        </w:sectPr>
      </w:pPr>
      <w:r>
        <w:rPr>
          <w:color w:val="000000" w:themeColor="text1"/>
          <w:highlight w:val="white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7440295" cy="5648325"/>
                <wp:effectExtent l="0" t="0" r="0" b="0"/>
                <wp:docPr id="5" name="Изображение2" descr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Изображение2" descr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8"/>
                        <a:stretch/>
                      </pic:blipFill>
                      <pic:spPr bwMode="auto">
                        <a:xfrm>
                          <a:off x="0" y="0"/>
                          <a:ext cx="7440295" cy="56483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4" o:spid="_x0000_s4" type="#_x0000_t75" style="width:585.85pt;height:444.75pt;mso-wrap-distance-left:0.00pt;mso-wrap-distance-top:0.00pt;mso-wrap-distance-right:0.00pt;mso-wrap-distance-bottom:0.00pt;" stroked="false">
                <v:path textboxrect="0,0,0,0"/>
                <v:imagedata r:id="rId18" o:title=""/>
              </v:shape>
            </w:pict>
          </mc:Fallback>
        </mc:AlternateContent>
      </w:r>
      <w:r>
        <w:rPr>
          <w:b/>
          <w:color w:val="000000" w:themeColor="text1"/>
          <w:sz w:val="20"/>
          <w:szCs w:val="20"/>
          <w:highlight w:val="white"/>
        </w:rPr>
      </w:r>
      <w:r>
        <w:rPr>
          <w:b/>
          <w:color w:val="000000" w:themeColor="text1"/>
          <w:sz w:val="20"/>
          <w:szCs w:val="20"/>
          <w:highlight w:val="white"/>
        </w:rPr>
      </w:r>
    </w:p>
    <w:p>
      <w:pPr>
        <w:pStyle w:val="887"/>
        <w:ind w:left="5811"/>
        <w:jc w:val="right"/>
        <w:rPr>
          <w:color w:val="000000" w:themeColor="text1"/>
          <w:sz w:val="20"/>
          <w:szCs w:val="20"/>
          <w:highlight w:val="white"/>
        </w:rPr>
      </w:pPr>
      <w:r>
        <w:rPr>
          <w:color w:val="000000" w:themeColor="text1"/>
          <w:sz w:val="20"/>
          <w:szCs w:val="20"/>
          <w:highlight w:val="white"/>
        </w:rPr>
        <w:t xml:space="preserve">Приложение№2</w:t>
      </w:r>
      <w:r>
        <w:rPr>
          <w:color w:val="000000" w:themeColor="text1"/>
          <w:sz w:val="20"/>
          <w:szCs w:val="20"/>
          <w:highlight w:val="white"/>
        </w:rPr>
      </w:r>
      <w:r>
        <w:rPr>
          <w:color w:val="000000" w:themeColor="text1"/>
          <w:sz w:val="20"/>
          <w:szCs w:val="20"/>
          <w:highlight w:val="white"/>
        </w:rPr>
      </w:r>
    </w:p>
    <w:p>
      <w:pPr>
        <w:pStyle w:val="887"/>
        <w:ind w:left="5811"/>
        <w:jc w:val="right"/>
        <w:rPr>
          <w:color w:val="000000" w:themeColor="text1"/>
          <w:sz w:val="20"/>
          <w:szCs w:val="20"/>
          <w:highlight w:val="white"/>
        </w:rPr>
      </w:pPr>
      <w:r>
        <w:rPr>
          <w:color w:val="000000" w:themeColor="text1"/>
          <w:sz w:val="20"/>
          <w:szCs w:val="20"/>
          <w:highlight w:val="white"/>
        </w:rPr>
        <w:t xml:space="preserve">                                                                                                                                                                                                </w:t>
      </w:r>
      <w:r>
        <w:rPr>
          <w:color w:val="000000" w:themeColor="text1"/>
          <w:sz w:val="20"/>
          <w:szCs w:val="20"/>
          <w:highlight w:val="white"/>
        </w:rPr>
      </w:r>
      <w:r>
        <w:rPr>
          <w:color w:val="000000" w:themeColor="text1"/>
          <w:sz w:val="20"/>
          <w:szCs w:val="20"/>
          <w:highlight w:val="white"/>
        </w:rPr>
      </w:r>
    </w:p>
    <w:p>
      <w:pPr>
        <w:pStyle w:val="887"/>
        <w:ind w:firstLine="0"/>
        <w:jc w:val="right"/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pPr>
      <w:r>
        <w:rPr>
          <w:rFonts w:cs="Times New Roman"/>
          <w:color w:val="000000" w:themeColor="text1"/>
          <w:sz w:val="22"/>
          <w:szCs w:val="22"/>
          <w:highlight w:val="white"/>
        </w:rPr>
        <w:t xml:space="preserve">к Требования к оформлению и составлению 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</w:p>
    <w:p>
      <w:pPr>
        <w:pStyle w:val="887"/>
        <w:ind w:firstLine="0"/>
        <w:jc w:val="right"/>
        <w:rPr>
          <w:b/>
          <w:bCs/>
          <w:color w:val="000000" w:themeColor="text1"/>
          <w:sz w:val="20"/>
          <w:szCs w:val="20"/>
          <w:highlight w:val="white"/>
        </w:rPr>
      </w:pPr>
      <w:r>
        <w:rPr>
          <w:rFonts w:cs="Times New Roman"/>
          <w:color w:val="000000" w:themeColor="text1"/>
          <w:sz w:val="22"/>
          <w:szCs w:val="22"/>
          <w:highlight w:val="white"/>
        </w:rPr>
        <w:t xml:space="preserve">документации по ценообразованию</w:t>
      </w:r>
      <w:r>
        <w:rPr>
          <w:b/>
          <w:color w:val="000000" w:themeColor="text1"/>
          <w:sz w:val="20"/>
          <w:szCs w:val="20"/>
          <w:highlight w:val="white"/>
        </w:rPr>
        <w:t xml:space="preserve"> </w:t>
      </w:r>
      <w:r>
        <w:rPr>
          <w:b/>
          <w:bCs/>
          <w:color w:val="000000" w:themeColor="text1"/>
          <w:sz w:val="20"/>
          <w:szCs w:val="20"/>
          <w:highlight w:val="white"/>
        </w:rPr>
      </w:r>
      <w:r>
        <w:rPr>
          <w:b/>
          <w:bCs/>
          <w:color w:val="000000" w:themeColor="text1"/>
          <w:sz w:val="20"/>
          <w:szCs w:val="20"/>
          <w:highlight w:val="white"/>
        </w:rPr>
      </w:r>
    </w:p>
    <w:p>
      <w:pPr>
        <w:pStyle w:val="887"/>
        <w:jc w:val="right"/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pStyle w:val="887"/>
        <w:jc w:val="right"/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pStyle w:val="887"/>
        <w:jc w:val="center"/>
        <w:rPr>
          <w:color w:val="000000" w:themeColor="text1"/>
          <w:highlight w:val="none"/>
        </w:rPr>
      </w:pPr>
      <w:r>
        <w:rPr>
          <w:color w:val="000000" w:themeColor="text1"/>
          <w:highlight w:val="white"/>
        </w:rPr>
        <w:object w:dxaOrig="42808" w:dyaOrig="16113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5" o:spid="_x0000_s5" type="#_x0000_t75" style="width:62.03pt;height:49.12pt;mso-wrap-distance-left:0.00pt;mso-wrap-distance-top:0.00pt;mso-wrap-distance-right:0.00pt;mso-wrap-distance-bottom:0.00pt;" filled="f" stroked="f">
            <v:path textboxrect="0,0,0,0"/>
            <v:imagedata r:id="rId19" o:title=""/>
          </v:shape>
          <o:OLEObject DrawAspect="Content" r:id="rId20" ObjectID="_1525045" ProgID="Excel.Sheet.12" ShapeID="_x0000_i5" Type="Embed"/>
        </w:objec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jc w:val="center"/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jc w:val="center"/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jc w:val="center"/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jc w:val="center"/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jc w:val="center"/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jc w:val="center"/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jc w:val="center"/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jc w:val="center"/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jc w:val="center"/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jc w:val="center"/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jc w:val="center"/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jc w:val="center"/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jc w:val="center"/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jc w:val="center"/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jc w:val="center"/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jc w:val="center"/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jc w:val="center"/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jc w:val="center"/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jc w:val="center"/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jc w:val="center"/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jc w:val="center"/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jc w:val="center"/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jc w:val="center"/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jc w:val="center"/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jc w:val="center"/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jc w:val="center"/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jc w:val="center"/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jc w:val="center"/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jc w:val="center"/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jc w:val="center"/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jc w:val="center"/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jc w:val="center"/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jc w:val="center"/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jc w:val="center"/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jc w:val="center"/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jc w:val="center"/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jc w:val="center"/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jc w:val="center"/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sectPr>
      <w:headerReference w:type="default" r:id="rId9"/>
      <w:headerReference w:type="even" r:id="rId10"/>
      <w:headerReference w:type="first" r:id="rId11"/>
      <w:footnotePr/>
      <w:endnotePr/>
      <w:type w:val="nextPage"/>
      <w:pgSz w:w="11906" w:h="16838" w:orient="portrait"/>
      <w:pgMar w:top="737" w:right="851" w:bottom="992" w:left="1134" w:header="680" w:footer="0" w:gutter="0"/>
      <w:cols w:num="1" w:sep="0" w:space="1701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Garamond">
    <w:panose1 w:val="02020603050405020304"/>
  </w:font>
  <w:font w:name="Verdana">
    <w:panose1 w:val="020B0604030504040204"/>
  </w:font>
  <w:font w:name="calibri light (Заголовки)">
    <w:panose1 w:val="020F0502020204030204"/>
  </w:font>
  <w:font w:name="Open Sans">
    <w:panose1 w:val="020B0606030504020204"/>
  </w:font>
  <w:font w:name="Cambria">
    <w:panose1 w:val="02040803050406030204"/>
  </w:font>
  <w:font w:name="Calibri">
    <w:panose1 w:val="020F0502020204030204"/>
  </w:font>
  <w:font w:name="Arial Unicode MS">
    <w:panose1 w:val="020B0604020202020204"/>
  </w:font>
  <w:font w:name="Arial">
    <w:panose1 w:val="020B0604020202020204"/>
  </w:font>
  <w:font w:name="Tahoma">
    <w:panose1 w:val="020B0604030504040204"/>
  </w:font>
  <w:font w:name="Courier New">
    <w:panose1 w:val="02070309020205020404"/>
  </w:font>
  <w:font w:name="Lohit Devanagari">
    <w:panose1 w:val="020B0600000000000000"/>
  </w:font>
  <w:font w:name="Times New Roman">
    <w:panose1 w:val="020206030504050203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78"/>
      <w:jc w:val="center"/>
    </w:pPr>
    <w:r>
      <w:fldChar w:fldCharType="begin"/>
    </w:r>
    <w:r>
      <w:instrText xml:space="preserve"> PAGE </w:instrText>
    </w:r>
    <w:r>
      <w:fldChar w:fldCharType="separate"/>
    </w:r>
    <w:r>
      <w:t xml:space="preserve">12</w:t>
    </w:r>
    <w:r>
      <w:fldChar w:fldCharType="end"/>
    </w:r>
    <w:r/>
  </w:p>
  <w:p>
    <w:pPr>
      <w:pStyle w:val="887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78"/>
      <w:jc w:val="center"/>
    </w:pPr>
    <w:r>
      <w:fldChar w:fldCharType="begin"/>
    </w:r>
    <w:r>
      <w:instrText xml:space="preserve"> PAGE </w:instrText>
    </w:r>
    <w:r>
      <w:fldChar w:fldCharType="separate"/>
    </w:r>
    <w:r>
      <w:t xml:space="preserve">0</w:t>
    </w:r>
    <w:r>
      <w:fldChar w:fldCharType="end"/>
    </w:r>
    <w:r/>
  </w:p>
  <w:p>
    <w:pPr>
      <w:pStyle w:val="978"/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4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978"/>
                            <w:rPr>
                              <w:rStyle w:val="918"/>
                            </w:rPr>
                          </w:pPr>
                          <w:r>
                            <w:rPr>
                              <w:rStyle w:val="918"/>
                            </w:rPr>
                            <w:fldChar w:fldCharType="begin"/>
                          </w:r>
                          <w:r>
                            <w:rPr>
                              <w:rStyle w:val="918"/>
                            </w:rPr>
                            <w:instrText xml:space="preserve"> PAGE </w:instrText>
                          </w:r>
                          <w:r>
                            <w:rPr>
                              <w:rStyle w:val="918"/>
                            </w:rPr>
                            <w:fldChar w:fldCharType="separate"/>
                          </w:r>
                          <w:r>
                            <w:rPr>
                              <w:rStyle w:val="918"/>
                            </w:rPr>
                            <w:t xml:space="preserve">0</w:t>
                          </w:r>
                          <w:r>
                            <w:rPr>
                              <w:rStyle w:val="918"/>
                            </w:rPr>
                            <w:fldChar w:fldCharType="end"/>
                          </w:r>
                          <w:r>
                            <w:rPr>
                              <w:rStyle w:val="918"/>
                            </w:rPr>
                          </w:r>
                          <w:r>
                            <w:rPr>
                              <w:rStyle w:val="918"/>
                            </w:rPr>
                          </w:r>
                        </w:p>
                      </w:txbxContent>
                    </wps:txbx>
                    <wps:bodyPr lIns="36000" tIns="36000" rIns="36000" bIns="3600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0" o:spid="_x0000_s0" o:spt="1" type="#_x0000_t1" style="position:absolute;z-index:-4;o:allowoverlap:true;o:allowincell:false;mso-position-horizontal-relative:margin;mso-position-horizontal:center;mso-position-vertical-relative:text;margin-top:0.05pt;mso-position-vertical:absolute;width:1.15pt;height:1.15pt;mso-wrap-distance-left:0.00pt;mso-wrap-distance-top:0.00pt;mso-wrap-distance-right:0.00pt;mso-wrap-distance-bottom:0.00pt;v-text-anchor:top;visibility:visible;" filled="f" stroked="f" strokeweight="0.00pt">
              <w10:wrap type="square"/>
              <v:textbox inset="0,0,0,0">
                <w:txbxContent>
                  <w:p>
                    <w:pPr>
                      <w:pStyle w:val="978"/>
                      <w:rPr>
                        <w:rStyle w:val="918"/>
                      </w:rPr>
                    </w:pPr>
                    <w:r>
                      <w:rPr>
                        <w:rStyle w:val="918"/>
                      </w:rPr>
                      <w:fldChar w:fldCharType="begin"/>
                    </w:r>
                    <w:r>
                      <w:rPr>
                        <w:rStyle w:val="918"/>
                      </w:rPr>
                      <w:instrText xml:space="preserve"> PAGE </w:instrText>
                    </w:r>
                    <w:r>
                      <w:rPr>
                        <w:rStyle w:val="918"/>
                      </w:rPr>
                      <w:fldChar w:fldCharType="separate"/>
                    </w:r>
                    <w:r>
                      <w:rPr>
                        <w:rStyle w:val="918"/>
                      </w:rPr>
                      <w:t xml:space="preserve">0</w:t>
                    </w:r>
                    <w:r>
                      <w:rPr>
                        <w:rStyle w:val="918"/>
                      </w:rPr>
                      <w:fldChar w:fldCharType="end"/>
                    </w:r>
                    <w:r>
                      <w:rPr>
                        <w:rStyle w:val="918"/>
                      </w:rPr>
                    </w:r>
                    <w:r>
                      <w:rPr>
                        <w:rStyle w:val="918"/>
                      </w:rPr>
                    </w:r>
                  </w:p>
                </w:txbxContent>
              </v:textbox>
            </v:shape>
          </w:pict>
        </mc:Fallback>
      </mc:AlternateContent>
    </w:r>
    <w:r/>
  </w:p>
  <w:p>
    <w:pPr>
      <w:pStyle w:val="887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78"/>
      <w:jc w:val="center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970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pStyle w:val="971"/>
      <w:isLgl w:val="false"/>
      <w:suff w:val="tab"/>
      <w:lvlText w:val="%1.%2."/>
      <w:lvlJc w:val="left"/>
      <w:pPr>
        <w:ind w:left="0" w:firstLine="0"/>
        <w:tabs>
          <w:tab w:val="num" w:pos="357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0" w:firstLine="0"/>
        <w:tabs>
          <w:tab w:val="num" w:pos="357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0" w:firstLine="0"/>
        <w:tabs>
          <w:tab w:val="num" w:pos="35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0" w:firstLine="0"/>
        <w:tabs>
          <w:tab w:val="num" w:pos="25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0" w:firstLine="0"/>
        <w:tabs>
          <w:tab w:val="num" w:pos="357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0" w:firstLine="0"/>
        <w:tabs>
          <w:tab w:val="num" w:pos="357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0" w:firstLine="0"/>
        <w:tabs>
          <w:tab w:val="num" w:pos="357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0" w:firstLine="0"/>
        <w:tabs>
          <w:tab w:val="num" w:pos="357" w:leader="none"/>
        </w:tabs>
      </w:pPr>
    </w:lvl>
  </w:abstractNum>
  <w:abstractNum w:abstractNumId="1">
    <w:multiLevelType w:val="hybridMultilevel"/>
    <w:lvl w:ilvl="0">
      <w:start w:val="4"/>
      <w:numFmt w:val="bullet"/>
      <w:pStyle w:val="1012"/>
      <w:isLgl w:val="false"/>
      <w:suff w:val="tab"/>
      <w:lvlText w:val="-"/>
      <w:lvlJc w:val="left"/>
      <w:pPr>
        <w:ind w:left="-207" w:hanging="360"/>
        <w:tabs>
          <w:tab w:val="num" w:pos="0" w:leader="none"/>
        </w:tabs>
      </w:pPr>
      <w:rPr>
        <w:rFonts w:hint="default" w:ascii="Times New Roman" w:hAnsi="Times New Roman" w:cs="Times New Roman"/>
      </w:rPr>
    </w:lvl>
    <w:lvl w:ilvl="1">
      <w:start w:val="1"/>
      <w:numFmt w:val="bullet"/>
      <w:pStyle w:val="1013"/>
      <w:isLgl w:val="false"/>
      <w:suff w:val="tab"/>
      <w:lvlText w:val="o"/>
      <w:lvlJc w:val="left"/>
      <w:pPr>
        <w:ind w:left="513" w:hanging="360"/>
        <w:tabs>
          <w:tab w:val="num" w:pos="513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pStyle w:val="1011"/>
      <w:isLgl w:val="false"/>
      <w:suff w:val="tab"/>
      <w:lvlText w:val=""/>
      <w:lvlJc w:val="left"/>
      <w:pPr>
        <w:ind w:left="1233" w:hanging="360"/>
        <w:tabs>
          <w:tab w:val="num" w:pos="1233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1953" w:hanging="360"/>
        <w:tabs>
          <w:tab w:val="num" w:pos="1953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2673" w:hanging="360"/>
        <w:tabs>
          <w:tab w:val="num" w:pos="2673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393" w:hanging="360"/>
        <w:tabs>
          <w:tab w:val="num" w:pos="3393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113" w:hanging="360"/>
        <w:tabs>
          <w:tab w:val="num" w:pos="4113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4833" w:hanging="360"/>
        <w:tabs>
          <w:tab w:val="num" w:pos="4833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553" w:hanging="360"/>
        <w:tabs>
          <w:tab w:val="num" w:pos="5553" w:leader="none"/>
        </w:tabs>
      </w:pPr>
      <w:rPr>
        <w:rFonts w:hint="default" w:ascii="Wingdings" w:hAnsi="Wingdings" w:cs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38" w:hanging="360"/>
        <w:tabs>
          <w:tab w:val="num" w:pos="0" w:leader="none"/>
        </w:tabs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  <w:tabs>
          <w:tab w:val="num" w:pos="0" w:leader="none"/>
        </w:tabs>
      </w:pPr>
      <w:rPr>
        <w:b/>
        <w:bCs/>
        <w:i w:val="0"/>
        <w:iCs/>
        <w:sz w:val="24"/>
        <w:szCs w:val="24"/>
      </w:rPr>
    </w:lvl>
    <w:lvl w:ilvl="2">
      <w:start w:val="1"/>
      <w:numFmt w:val="decimal"/>
      <w:pStyle w:val="890"/>
      <w:isLgl w:val="false"/>
      <w:suff w:val="tab"/>
      <w:lvlText w:val="%1.%2.%3."/>
      <w:lvlJc w:val="left"/>
      <w:pPr>
        <w:ind w:left="1224" w:hanging="504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  <w:tabs>
          <w:tab w:val="num" w:pos="0" w:leader="none"/>
        </w:tabs>
      </w:pPr>
    </w:lvl>
    <w:lvl w:ilvl="3">
      <w:start w:val="1"/>
      <w:numFmt w:val="russianLower"/>
      <w:pStyle w:val="1022"/>
      <w:isLgl w:val="false"/>
      <w:suff w:val="tab"/>
      <w:lvlText w:val="(%4)"/>
      <w:lvlJc w:val="left"/>
      <w:pPr>
        <w:ind w:left="1985" w:hanging="567"/>
        <w:tabs>
          <w:tab w:val="num" w:pos="0" w:leader="none"/>
        </w:tabs>
      </w:pPr>
    </w:lvl>
    <w:lvl w:ilvl="4">
      <w:start w:val="1"/>
      <w:numFmt w:val="bullet"/>
      <w:pStyle w:val="1023"/>
      <w:isLgl w:val="false"/>
      <w:suff w:val="tab"/>
      <w:lvlText w:val="–"/>
      <w:lvlJc w:val="left"/>
      <w:pPr>
        <w:ind w:left="2268" w:hanging="567"/>
        <w:tabs>
          <w:tab w:val="num" w:pos="0" w:leader="none"/>
        </w:tabs>
      </w:pPr>
      <w:rPr>
        <w:rFonts w:hint="default" w:ascii="Times New Roman" w:hAnsi="Times New Roman" w:cs="Times New Roman"/>
      </w:rPr>
    </w:lvl>
    <w:lvl w:ilvl="5">
      <w:start w:val="1"/>
      <w:numFmt w:val="none"/>
      <w:pStyle w:val="1026"/>
      <w:isLgl w:val="false"/>
      <w:suff w:val="nothing"/>
      <w:lvlText w:val=""/>
      <w:lvlJc w:val="left"/>
      <w:pPr>
        <w:ind w:left="1134" w:firstLine="0"/>
        <w:tabs>
          <w:tab w:val="num" w:pos="0" w:leader="none"/>
        </w:tabs>
      </w:pPr>
    </w:lvl>
    <w:lvl w:ilvl="6">
      <w:start w:val="1"/>
      <w:numFmt w:val="none"/>
      <w:pStyle w:val="1024"/>
      <w:isLgl w:val="false"/>
      <w:suff w:val="nothing"/>
      <w:lvlText w:val=""/>
      <w:lvlJc w:val="left"/>
      <w:pPr>
        <w:ind w:left="1701" w:firstLine="0"/>
        <w:tabs>
          <w:tab w:val="num" w:pos="0" w:leader="none"/>
        </w:tabs>
      </w:pPr>
    </w:lvl>
    <w:lvl w:ilvl="7">
      <w:start w:val="1"/>
      <w:numFmt w:val="none"/>
      <w:pStyle w:val="1025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none"/>
      <w:isLgl w:val="false"/>
      <w:suff w:val="nothing"/>
      <w:lvlText w:val=""/>
      <w:lvlJc w:val="left"/>
      <w:pPr>
        <w:ind w:left="1134" w:firstLine="0"/>
        <w:tabs>
          <w:tab w:val="num" w:pos="0" w:leader="none"/>
        </w:tabs>
      </w:pPr>
    </w:lvl>
  </w:abstractNum>
  <w:abstractNum w:abstractNumId="4">
    <w:multiLevelType w:val="hybridMultilevel"/>
    <w:lvl w:ilvl="0">
      <w:start w:val="1"/>
      <w:numFmt w:val="decimal"/>
      <w:pStyle w:val="1029"/>
      <w:isLgl w:val="false"/>
      <w:suff w:val="tab"/>
      <w:lvlText w:val="1.%1"/>
      <w:lvlJc w:val="left"/>
      <w:pPr>
        <w:ind w:left="1429" w:hanging="360"/>
        <w:tabs>
          <w:tab w:val="num" w:pos="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  <w:tabs>
          <w:tab w:val="num" w:pos="0" w:leader="none"/>
        </w:tabs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center"/>
      <w:pPr>
        <w:ind w:left="1272" w:hanging="279"/>
        <w:tabs>
          <w:tab w:val="num" w:pos="1272" w:leader="none"/>
        </w:tabs>
      </w:pPr>
      <w:rPr>
        <w:rFonts w:ascii="Times New Roman" w:hAnsi="Times New Roman" w:eastAsia="Times New Roman" w:cs="Times New Roman"/>
        <w:b w:val="0"/>
        <w:i w:val="0"/>
        <w:color w:val="000000"/>
        <w:sz w:val="22"/>
        <w:szCs w:val="22"/>
        <w:u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1844" w:hanging="567"/>
        <w:tabs>
          <w:tab w:val="num" w:pos="1844" w:leader="none"/>
        </w:tabs>
      </w:pPr>
      <w:rPr>
        <w:rFonts w:ascii="Times New Roman" w:hAnsi="Times New Roman" w:eastAsia="Times New Roman" w:cs="Times New Roman"/>
        <w:b w:val="0"/>
        <w:sz w:val="22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93" w:hanging="851"/>
        <w:tabs>
          <w:tab w:val="num" w:pos="993" w:leader="none"/>
        </w:tabs>
      </w:pPr>
      <w:rPr>
        <w:strike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77" w:hanging="567"/>
        <w:tabs>
          <w:tab w:val="num" w:pos="1277" w:leader="none"/>
        </w:tabs>
      </w:pPr>
    </w:lvl>
    <w:lvl w:ilvl="4">
      <w:start w:val="1"/>
      <w:numFmt w:val="lowerLetter"/>
      <w:isLgl w:val="false"/>
      <w:suff w:val="tab"/>
      <w:lvlText w:val="%5)"/>
      <w:lvlJc w:val="left"/>
      <w:pPr>
        <w:ind w:left="1718" w:hanging="1008"/>
        <w:tabs>
          <w:tab w:val="num" w:pos="1718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592" w:hanging="1152"/>
        <w:tabs>
          <w:tab w:val="num" w:pos="2592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736" w:hanging="1296"/>
        <w:tabs>
          <w:tab w:val="num" w:pos="2736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880" w:hanging="1440"/>
        <w:tabs>
          <w:tab w:val="num" w:pos="288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024" w:hanging="1584"/>
        <w:tabs>
          <w:tab w:val="num" w:pos="3024" w:leader="none"/>
        </w:tabs>
      </w:p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  <w:tabs>
          <w:tab w:val="num" w:pos="0" w:leader="none"/>
        </w:tabs>
      </w:pPr>
      <w:rPr>
        <w:rFonts w:hint="default" w:ascii="Symbol" w:hAnsi="Symbol" w:cs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11" w:hanging="360"/>
        <w:tabs>
          <w:tab w:val="num" w:pos="0" w:leader="none"/>
        </w:tabs>
      </w:pPr>
      <w:rPr>
        <w:rFonts w:hint="default" w:ascii="Symbol" w:hAnsi="Symbol" w:cs="Symbol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367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087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807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27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247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967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87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407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  <w:tabs>
          <w:tab w:val="num" w:pos="0" w:leader="none"/>
        </w:tabs>
      </w:pPr>
      <w:rPr>
        <w:rFonts w:hint="default"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13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  <w:tabs>
          <w:tab w:val="num" w:pos="0" w:leader="none"/>
        </w:tabs>
      </w:pPr>
      <w:rPr>
        <w:rFonts w:hint="default"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="Tahoma" w:cs="Lohit Devanagari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61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2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3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4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5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66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68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90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1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2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93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94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95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96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97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798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99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00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01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802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803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04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05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06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07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08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09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10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25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26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27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28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29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30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31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6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7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8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9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0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1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2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53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54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55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56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57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58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59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60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861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862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863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64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865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66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67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868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69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70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71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872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73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74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875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76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77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78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879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80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81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82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83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84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85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86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87" w:default="1">
    <w:name w:val="Normal"/>
    <w:qFormat/>
    <w:pPr>
      <w:jc w:val="left"/>
      <w:spacing w:before="0" w:after="0"/>
      <w:widowControl/>
    </w:pPr>
    <w:rPr>
      <w:rFonts w:ascii="Times New Roman" w:hAnsi="Times New Roman" w:eastAsia="Tahoma" w:cs="Lohit Devanagari"/>
      <w:color w:val="auto"/>
      <w:sz w:val="28"/>
      <w:szCs w:val="28"/>
      <w:lang w:val="ru-RU" w:eastAsia="ru-RU" w:bidi="ar-SA"/>
    </w:rPr>
  </w:style>
  <w:style w:type="paragraph" w:styleId="888">
    <w:name w:val="Heading 1"/>
    <w:basedOn w:val="890"/>
    <w:qFormat/>
    <w:pPr>
      <w:outlineLvl w:val="0"/>
    </w:pPr>
    <w:rPr>
      <w:sz w:val="28"/>
      <w:szCs w:val="28"/>
    </w:rPr>
  </w:style>
  <w:style w:type="paragraph" w:styleId="889">
    <w:name w:val="Heading 2"/>
    <w:basedOn w:val="891"/>
    <w:qFormat/>
    <w:pPr>
      <w:outlineLvl w:val="1"/>
    </w:pPr>
  </w:style>
  <w:style w:type="paragraph" w:styleId="890">
    <w:name w:val="Heading 3"/>
    <w:basedOn w:val="887"/>
    <w:qFormat/>
    <w:pPr>
      <w:numPr>
        <w:ilvl w:val="2"/>
        <w:numId w:val="3"/>
      </w:numPr>
      <w:keepNext/>
      <w:spacing w:before="120" w:after="60" w:line="360" w:lineRule="auto"/>
      <w:outlineLvl w:val="2"/>
    </w:pPr>
    <w:rPr>
      <w:rFonts w:eastAsia="Calibri"/>
      <w:b/>
      <w:sz w:val="24"/>
      <w:szCs w:val="24"/>
    </w:rPr>
  </w:style>
  <w:style w:type="paragraph" w:styleId="891">
    <w:name w:val="Heading 4"/>
    <w:basedOn w:val="890"/>
    <w:qFormat/>
    <w:pPr>
      <w:outlineLvl w:val="3"/>
    </w:pPr>
    <w:rPr>
      <w:bCs/>
    </w:rPr>
  </w:style>
  <w:style w:type="paragraph" w:styleId="892">
    <w:name w:val="Heading 5"/>
    <w:basedOn w:val="887"/>
    <w:uiPriority w:val="9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93">
    <w:name w:val="Heading 6"/>
    <w:basedOn w:val="887"/>
    <w:uiPriority w:val="9"/>
    <w:qFormat/>
    <w:pPr>
      <w:keepLines/>
      <w:keepNext/>
      <w:spacing w:before="200" w:after="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894">
    <w:name w:val="Heading 7"/>
    <w:basedOn w:val="887"/>
    <w:uiPriority w:val="9"/>
    <w:qFormat/>
    <w:pPr>
      <w:keepLines/>
      <w:keepNext/>
      <w:spacing w:before="200" w:after="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95">
    <w:name w:val="Heading 8"/>
    <w:basedOn w:val="887"/>
    <w:uiPriority w:val="9"/>
    <w:qFormat/>
    <w:pPr>
      <w:keepLines/>
      <w:keepNext/>
      <w:spacing w:before="200" w:after="0"/>
      <w:outlineLvl w:val="7"/>
    </w:pPr>
    <w:rPr>
      <w:rFonts w:ascii="Cambria" w:hAnsi="Cambria"/>
      <w:color w:val="4f81bd"/>
      <w:sz w:val="20"/>
      <w:szCs w:val="20"/>
    </w:rPr>
  </w:style>
  <w:style w:type="paragraph" w:styleId="896">
    <w:name w:val="Heading 9"/>
    <w:basedOn w:val="887"/>
    <w:uiPriority w:val="9"/>
    <w:qFormat/>
    <w:pPr>
      <w:spacing w:before="240" w:after="60"/>
      <w:outlineLvl w:val="8"/>
    </w:pPr>
    <w:rPr>
      <w:rFonts w:ascii="Arial" w:hAnsi="Arial"/>
      <w:sz w:val="22"/>
      <w:szCs w:val="22"/>
    </w:rPr>
  </w:style>
  <w:style w:type="character" w:styleId="897">
    <w:name w:val="Heading 1 Char"/>
    <w:basedOn w:val="915"/>
    <w:uiPriority w:val="9"/>
    <w:qFormat/>
    <w:rPr>
      <w:rFonts w:ascii="Arial" w:hAnsi="Arial" w:eastAsia="Arial" w:cs="Arial"/>
      <w:sz w:val="40"/>
      <w:szCs w:val="40"/>
    </w:rPr>
  </w:style>
  <w:style w:type="character" w:styleId="898">
    <w:name w:val="Heading 2 Char"/>
    <w:basedOn w:val="915"/>
    <w:uiPriority w:val="9"/>
    <w:qFormat/>
    <w:rPr>
      <w:rFonts w:ascii="Arial" w:hAnsi="Arial" w:eastAsia="Arial" w:cs="Arial"/>
      <w:sz w:val="34"/>
    </w:rPr>
  </w:style>
  <w:style w:type="character" w:styleId="899">
    <w:name w:val="Heading 3 Char"/>
    <w:basedOn w:val="915"/>
    <w:uiPriority w:val="9"/>
    <w:qFormat/>
    <w:rPr>
      <w:rFonts w:ascii="Arial" w:hAnsi="Arial" w:eastAsia="Arial" w:cs="Arial"/>
      <w:sz w:val="30"/>
      <w:szCs w:val="30"/>
    </w:rPr>
  </w:style>
  <w:style w:type="character" w:styleId="900">
    <w:name w:val="Heading 4 Char"/>
    <w:basedOn w:val="915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901">
    <w:name w:val="Heading 5 Char"/>
    <w:basedOn w:val="915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902">
    <w:name w:val="Heading 6 Char"/>
    <w:basedOn w:val="915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903">
    <w:name w:val="Heading 7 Char"/>
    <w:basedOn w:val="915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904">
    <w:name w:val="Heading 8 Char"/>
    <w:basedOn w:val="915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905">
    <w:name w:val="Heading 9 Char"/>
    <w:basedOn w:val="915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906">
    <w:name w:val="Title Char"/>
    <w:basedOn w:val="915"/>
    <w:uiPriority w:val="10"/>
    <w:qFormat/>
    <w:rPr>
      <w:sz w:val="48"/>
      <w:szCs w:val="48"/>
    </w:rPr>
  </w:style>
  <w:style w:type="character" w:styleId="907">
    <w:name w:val="Subtitle Char"/>
    <w:basedOn w:val="915"/>
    <w:uiPriority w:val="11"/>
    <w:qFormat/>
    <w:rPr>
      <w:sz w:val="24"/>
      <w:szCs w:val="24"/>
    </w:rPr>
  </w:style>
  <w:style w:type="character" w:styleId="908">
    <w:name w:val="Quote Char"/>
    <w:uiPriority w:val="29"/>
    <w:qFormat/>
    <w:rPr>
      <w:i/>
    </w:rPr>
  </w:style>
  <w:style w:type="character" w:styleId="909">
    <w:name w:val="Intense Quote Char"/>
    <w:uiPriority w:val="30"/>
    <w:qFormat/>
    <w:rPr>
      <w:i/>
    </w:rPr>
  </w:style>
  <w:style w:type="character" w:styleId="910">
    <w:name w:val="Header Char"/>
    <w:basedOn w:val="915"/>
    <w:uiPriority w:val="99"/>
    <w:qFormat/>
  </w:style>
  <w:style w:type="character" w:styleId="911">
    <w:name w:val="Footer Char"/>
    <w:basedOn w:val="915"/>
    <w:uiPriority w:val="99"/>
    <w:qFormat/>
  </w:style>
  <w:style w:type="character" w:styleId="912">
    <w:name w:val="Caption Char"/>
    <w:uiPriority w:val="99"/>
    <w:qFormat/>
  </w:style>
  <w:style w:type="character" w:styleId="913">
    <w:name w:val="Footnote Text Char"/>
    <w:uiPriority w:val="99"/>
    <w:qFormat/>
    <w:rPr>
      <w:sz w:val="18"/>
    </w:rPr>
  </w:style>
  <w:style w:type="character" w:styleId="914">
    <w:name w:val="Endnote Text Char"/>
    <w:uiPriority w:val="99"/>
    <w:qFormat/>
    <w:rPr>
      <w:sz w:val="20"/>
    </w:rPr>
  </w:style>
  <w:style w:type="character" w:styleId="915" w:default="1">
    <w:name w:val="Default Paragraph Font"/>
    <w:uiPriority w:val="1"/>
    <w:semiHidden/>
    <w:unhideWhenUsed/>
    <w:qFormat/>
  </w:style>
  <w:style w:type="character" w:styleId="916">
    <w:name w:val="Символ сноски"/>
    <w:uiPriority w:val="99"/>
    <w:qFormat/>
    <w:rPr>
      <w:vertAlign w:val="superscript"/>
    </w:rPr>
  </w:style>
  <w:style w:type="character" w:styleId="917">
    <w:name w:val="footnote reference"/>
    <w:rPr>
      <w:vertAlign w:val="superscript"/>
    </w:rPr>
  </w:style>
  <w:style w:type="character" w:styleId="918">
    <w:name w:val="page number"/>
    <w:basedOn w:val="915"/>
    <w:qFormat/>
  </w:style>
  <w:style w:type="character" w:styleId="919">
    <w:name w:val="Hyperlink"/>
    <w:uiPriority w:val="99"/>
    <w:rPr>
      <w:color w:val="0000ff"/>
      <w:u w:val="single"/>
    </w:rPr>
  </w:style>
  <w:style w:type="character" w:styleId="920">
    <w:name w:val="annotation reference"/>
    <w:qFormat/>
    <w:rPr>
      <w:sz w:val="16"/>
      <w:szCs w:val="16"/>
    </w:rPr>
  </w:style>
  <w:style w:type="character" w:styleId="921">
    <w:name w:val="Strong"/>
    <w:qFormat/>
    <w:rPr>
      <w:b/>
      <w:bCs/>
    </w:rPr>
  </w:style>
  <w:style w:type="character" w:styleId="922" w:customStyle="1">
    <w:name w:val="Заголовок 6 Знак"/>
    <w:uiPriority w:val="9"/>
    <w:qFormat/>
    <w:rPr>
      <w:rFonts w:ascii="Cambria" w:hAnsi="Cambria"/>
      <w:i/>
      <w:iCs/>
      <w:color w:val="243f60"/>
    </w:rPr>
  </w:style>
  <w:style w:type="character" w:styleId="923" w:customStyle="1">
    <w:name w:val="Заголовок 7 Знак"/>
    <w:uiPriority w:val="9"/>
    <w:qFormat/>
    <w:rPr>
      <w:rFonts w:ascii="Cambria" w:hAnsi="Cambria"/>
      <w:i/>
      <w:iCs/>
      <w:color w:val="404040"/>
    </w:rPr>
  </w:style>
  <w:style w:type="character" w:styleId="924" w:customStyle="1">
    <w:name w:val="Заголовок 8 Знак"/>
    <w:uiPriority w:val="9"/>
    <w:qFormat/>
    <w:rPr>
      <w:rFonts w:ascii="Cambria" w:hAnsi="Cambria"/>
      <w:color w:val="4f81bd"/>
    </w:rPr>
  </w:style>
  <w:style w:type="character" w:styleId="925" w:customStyle="1">
    <w:name w:val="Заголовок 1 Знак"/>
    <w:qFormat/>
    <w:rPr>
      <w:rFonts w:eastAsia="Calibri"/>
      <w:b/>
      <w:sz w:val="28"/>
      <w:szCs w:val="28"/>
    </w:rPr>
  </w:style>
  <w:style w:type="character" w:styleId="926" w:customStyle="1">
    <w:name w:val="Заголовок 2 Знак"/>
    <w:qFormat/>
    <w:rPr>
      <w:rFonts w:eastAsia="Calibri"/>
      <w:b/>
      <w:bCs/>
      <w:sz w:val="24"/>
      <w:szCs w:val="24"/>
    </w:rPr>
  </w:style>
  <w:style w:type="character" w:styleId="927" w:customStyle="1">
    <w:name w:val="Заголовок 3 Знак"/>
    <w:qFormat/>
    <w:rPr>
      <w:rFonts w:eastAsia="Calibri"/>
      <w:b/>
      <w:sz w:val="24"/>
      <w:szCs w:val="24"/>
    </w:rPr>
  </w:style>
  <w:style w:type="character" w:styleId="928" w:customStyle="1">
    <w:name w:val="Заголовок 4 Знак"/>
    <w:qFormat/>
    <w:rPr>
      <w:rFonts w:eastAsia="Calibri"/>
      <w:b/>
      <w:bCs/>
      <w:sz w:val="24"/>
      <w:szCs w:val="24"/>
    </w:rPr>
  </w:style>
  <w:style w:type="character" w:styleId="929" w:customStyle="1">
    <w:name w:val="Заголовок 5 Знак"/>
    <w:uiPriority w:val="9"/>
    <w:qFormat/>
    <w:rPr>
      <w:b/>
      <w:bCs/>
      <w:i/>
      <w:iCs/>
      <w:sz w:val="26"/>
      <w:szCs w:val="26"/>
    </w:rPr>
  </w:style>
  <w:style w:type="character" w:styleId="930" w:customStyle="1">
    <w:name w:val="Заголовок 9 Знак"/>
    <w:uiPriority w:val="9"/>
    <w:qFormat/>
    <w:rPr>
      <w:rFonts w:ascii="Arial" w:hAnsi="Arial" w:cs="Arial"/>
      <w:sz w:val="22"/>
      <w:szCs w:val="22"/>
    </w:rPr>
  </w:style>
  <w:style w:type="character" w:styleId="931" w:customStyle="1">
    <w:name w:val="Название Знак"/>
    <w:uiPriority w:val="10"/>
    <w:qFormat/>
    <w:rPr>
      <w:sz w:val="28"/>
    </w:rPr>
  </w:style>
  <w:style w:type="character" w:styleId="932" w:customStyle="1">
    <w:name w:val="Подзаголовок Знак"/>
    <w:uiPriority w:val="11"/>
    <w:qFormat/>
    <w:rPr>
      <w:rFonts w:ascii="Cambria" w:hAnsi="Cambria"/>
      <w:i/>
      <w:iCs/>
      <w:color w:val="4f81bd"/>
      <w:spacing w:val="15"/>
      <w:sz w:val="24"/>
      <w:szCs w:val="24"/>
    </w:rPr>
  </w:style>
  <w:style w:type="character" w:styleId="933">
    <w:name w:val="Emphasis"/>
    <w:uiPriority w:val="20"/>
    <w:qFormat/>
    <w:rPr>
      <w:i/>
      <w:iCs/>
    </w:rPr>
  </w:style>
  <w:style w:type="character" w:styleId="934" w:customStyle="1">
    <w:name w:val="Цитата 2 Знак"/>
    <w:uiPriority w:val="29"/>
    <w:qFormat/>
    <w:rPr>
      <w:rFonts w:ascii="Calibri" w:hAnsi="Calibri" w:eastAsia="Calibri"/>
      <w:i/>
      <w:iCs/>
      <w:color w:val="000000"/>
    </w:rPr>
  </w:style>
  <w:style w:type="character" w:styleId="935" w:customStyle="1">
    <w:name w:val="Выделенная цитата Знак"/>
    <w:uiPriority w:val="30"/>
    <w:qFormat/>
    <w:rPr>
      <w:rFonts w:ascii="Calibri" w:hAnsi="Calibri" w:eastAsia="Calibri"/>
      <w:b/>
      <w:bCs/>
      <w:i/>
      <w:iCs/>
      <w:color w:val="4f81bd"/>
    </w:rPr>
  </w:style>
  <w:style w:type="character" w:styleId="936">
    <w:name w:val="Subtle Emphasis"/>
    <w:uiPriority w:val="19"/>
    <w:qFormat/>
    <w:rPr>
      <w:i/>
      <w:iCs/>
      <w:color w:val="808080"/>
    </w:rPr>
  </w:style>
  <w:style w:type="character" w:styleId="937">
    <w:name w:val="Intense Emphasis"/>
    <w:uiPriority w:val="21"/>
    <w:qFormat/>
    <w:rPr>
      <w:b/>
      <w:bCs/>
      <w:i/>
      <w:iCs/>
      <w:color w:val="4f81bd"/>
    </w:rPr>
  </w:style>
  <w:style w:type="character" w:styleId="938">
    <w:name w:val="Subtle Reference"/>
    <w:uiPriority w:val="31"/>
    <w:qFormat/>
    <w:rPr>
      <w:smallCaps/>
      <w:color w:val="c0504d"/>
      <w:u w:val="single"/>
    </w:rPr>
  </w:style>
  <w:style w:type="character" w:styleId="939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character" w:styleId="940">
    <w:name w:val="Book Title"/>
    <w:uiPriority w:val="33"/>
    <w:qFormat/>
    <w:rPr>
      <w:b/>
      <w:bCs/>
      <w:smallCaps/>
      <w:spacing w:val="5"/>
    </w:rPr>
  </w:style>
  <w:style w:type="character" w:styleId="941" w:customStyle="1">
    <w:name w:val="Электронная подпись Знак"/>
    <w:uiPriority w:val="99"/>
    <w:qFormat/>
    <w:rPr>
      <w:rFonts w:eastAsia="Calibri"/>
      <w:sz w:val="24"/>
      <w:szCs w:val="24"/>
    </w:rPr>
  </w:style>
  <w:style w:type="character" w:styleId="942" w:customStyle="1">
    <w:name w:val="Подпункт Знак1"/>
    <w:qFormat/>
    <w:rPr>
      <w:sz w:val="28"/>
    </w:rPr>
  </w:style>
  <w:style w:type="character" w:styleId="943" w:customStyle="1">
    <w:name w:val="Текст сноски Знак"/>
    <w:uiPriority w:val="99"/>
    <w:qFormat/>
  </w:style>
  <w:style w:type="character" w:styleId="944" w:customStyle="1">
    <w:name w:val="Основной текст Знак"/>
    <w:qFormat/>
    <w:rPr>
      <w:sz w:val="28"/>
      <w:szCs w:val="28"/>
    </w:rPr>
  </w:style>
  <w:style w:type="character" w:styleId="945" w:customStyle="1">
    <w:name w:val="blk"/>
    <w:qFormat/>
  </w:style>
  <w:style w:type="character" w:styleId="946" w:customStyle="1">
    <w:name w:val="Абзац списка Знак"/>
    <w:uiPriority w:val="34"/>
    <w:qFormat/>
    <w:rPr>
      <w:rFonts w:eastAsia="Calibri"/>
      <w:sz w:val="24"/>
      <w:szCs w:val="24"/>
    </w:rPr>
  </w:style>
  <w:style w:type="character" w:styleId="947" w:customStyle="1">
    <w:name w:val="комментарий"/>
    <w:qFormat/>
    <w:rPr>
      <w:b/>
      <w:i/>
      <w:shd w:val="clear" w:color="auto" w:fill="ffff99"/>
    </w:rPr>
  </w:style>
  <w:style w:type="character" w:styleId="948" w:customStyle="1">
    <w:name w:val="Подподпункт Знак"/>
    <w:qFormat/>
    <w:rPr>
      <w:sz w:val="26"/>
      <w:szCs w:val="26"/>
    </w:rPr>
  </w:style>
  <w:style w:type="character" w:styleId="949" w:customStyle="1">
    <w:name w:val="УРОВЕНЬ_Абзац_тип3 Знак"/>
    <w:qFormat/>
    <w:rPr>
      <w:rFonts w:eastAsia="Calibri"/>
      <w:sz w:val="26"/>
      <w:szCs w:val="28"/>
      <w:lang w:eastAsia="en-US"/>
    </w:rPr>
  </w:style>
  <w:style w:type="character" w:styleId="950" w:customStyle="1">
    <w:name w:val="Верхний колонтитул Знак"/>
    <w:uiPriority w:val="99"/>
    <w:qFormat/>
    <w:rPr>
      <w:sz w:val="24"/>
      <w:szCs w:val="24"/>
    </w:rPr>
  </w:style>
  <w:style w:type="character" w:styleId="951" w:customStyle="1">
    <w:name w:val="Текст примечания Знак"/>
    <w:qFormat/>
  </w:style>
  <w:style w:type="character" w:styleId="952" w:customStyle="1">
    <w:name w:val="Текст концевой сноски Знак"/>
    <w:basedOn w:val="915"/>
    <w:qFormat/>
  </w:style>
  <w:style w:type="character" w:styleId="953">
    <w:name w:val="Символ концевой сноски"/>
    <w:qFormat/>
    <w:rPr>
      <w:vertAlign w:val="superscript"/>
    </w:rPr>
  </w:style>
  <w:style w:type="character" w:styleId="954">
    <w:name w:val="endnote reference"/>
    <w:rPr>
      <w:vertAlign w:val="superscript"/>
    </w:rPr>
  </w:style>
  <w:style w:type="character" w:styleId="955" w:customStyle="1">
    <w:name w:val="Пункт2 Знак"/>
    <w:qFormat/>
    <w:rPr>
      <w:b/>
      <w:sz w:val="28"/>
    </w:rPr>
  </w:style>
  <w:style w:type="character" w:styleId="956" w:customStyle="1">
    <w:name w:val="УРОВЕНЬ_1. Знак"/>
    <w:qFormat/>
    <w:rPr>
      <w:rFonts w:eastAsia="Calibri"/>
      <w:caps/>
      <w:sz w:val="28"/>
      <w:szCs w:val="28"/>
      <w:lang w:eastAsia="en-US"/>
    </w:rPr>
  </w:style>
  <w:style w:type="character" w:styleId="957" w:customStyle="1">
    <w:name w:val="Неразрешенное упоминание1"/>
    <w:basedOn w:val="915"/>
    <w:uiPriority w:val="99"/>
    <w:semiHidden/>
    <w:unhideWhenUsed/>
    <w:qFormat/>
    <w:rPr>
      <w:color w:val="605e5c"/>
      <w:shd w:val="clear" w:color="auto" w:fill="e1dfdd"/>
    </w:rPr>
  </w:style>
  <w:style w:type="character" w:styleId="958" w:customStyle="1">
    <w:name w:val="Основной текст с отступом 3 Знак"/>
    <w:qFormat/>
    <w:rPr>
      <w:sz w:val="16"/>
      <w:szCs w:val="16"/>
    </w:rPr>
  </w:style>
  <w:style w:type="character" w:styleId="959" w:customStyle="1">
    <w:name w:val="Основной текст (2)"/>
    <w:qFormat/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color w:val="000000"/>
      <w:spacing w:val="0"/>
      <w:sz w:val="24"/>
      <w:szCs w:val="24"/>
      <w:u w:val="none"/>
      <w:lang w:val="ru-RU" w:eastAsia="ru-RU" w:bidi="ru-RU"/>
    </w:rPr>
  </w:style>
  <w:style w:type="character" w:styleId="960">
    <w:name w:val="FollowedHyperlink"/>
    <w:basedOn w:val="915"/>
    <w:semiHidden/>
    <w:unhideWhenUsed/>
    <w:rPr>
      <w:color w:val="954f72" w:themeColor="followedHyperlink"/>
      <w:u w:val="single"/>
    </w:rPr>
  </w:style>
  <w:style w:type="character" w:styleId="961" w:customStyle="1">
    <w:name w:val="ConsPlusNormal Знак"/>
    <w:qFormat/>
    <w:rPr>
      <w:rFonts w:ascii="Arial" w:hAnsi="Arial" w:cs="Arial"/>
    </w:rPr>
  </w:style>
  <w:style w:type="paragraph" w:styleId="962">
    <w:name w:val="Заголовок"/>
    <w:basedOn w:val="887"/>
    <w:next w:val="963"/>
    <w:qFormat/>
    <w:pPr>
      <w:keepNext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963">
    <w:name w:val="Body Text"/>
    <w:basedOn w:val="887"/>
    <w:pPr>
      <w:spacing w:before="0" w:after="120"/>
    </w:pPr>
  </w:style>
  <w:style w:type="paragraph" w:styleId="964">
    <w:name w:val="List"/>
    <w:basedOn w:val="963"/>
    <w:rPr>
      <w:rFonts w:cs="Lohit Devanagari"/>
    </w:rPr>
  </w:style>
  <w:style w:type="paragraph" w:styleId="965">
    <w:name w:val="Caption"/>
    <w:basedOn w:val="887"/>
    <w:link w:val="912"/>
    <w:uiPriority w:val="35"/>
    <w:qFormat/>
    <w:rPr>
      <w:rFonts w:eastAsia="Calibri"/>
      <w:b/>
      <w:bCs/>
      <w:color w:val="4f81bd"/>
      <w:sz w:val="18"/>
      <w:szCs w:val="18"/>
    </w:rPr>
  </w:style>
  <w:style w:type="paragraph" w:styleId="966">
    <w:name w:val="Указатель"/>
    <w:basedOn w:val="887"/>
    <w:qFormat/>
    <w:pPr>
      <w:suppressLineNumbers/>
    </w:pPr>
    <w:rPr>
      <w:rFonts w:cs="Lohit Devanagari"/>
    </w:rPr>
  </w:style>
  <w:style w:type="paragraph" w:styleId="967">
    <w:name w:val="Title"/>
    <w:basedOn w:val="887"/>
    <w:uiPriority w:val="10"/>
    <w:qFormat/>
    <w:pPr>
      <w:contextualSpacing/>
      <w:spacing w:before="300" w:after="200"/>
    </w:pPr>
    <w:rPr>
      <w:sz w:val="48"/>
      <w:szCs w:val="48"/>
    </w:rPr>
  </w:style>
  <w:style w:type="paragraph" w:styleId="968">
    <w:name w:val="table of figures"/>
    <w:basedOn w:val="887"/>
    <w:uiPriority w:val="99"/>
    <w:unhideWhenUsed/>
    <w:pPr>
      <w:spacing w:before="0" w:after="0" w:afterAutospacing="0"/>
    </w:pPr>
  </w:style>
  <w:style w:type="paragraph" w:styleId="969" w:customStyle="1">
    <w:name w:val="Название раздела инструкции"/>
    <w:basedOn w:val="887"/>
    <w:qFormat/>
    <w:pPr>
      <w:jc w:val="center"/>
    </w:pPr>
    <w:rPr>
      <w:b/>
    </w:rPr>
  </w:style>
  <w:style w:type="paragraph" w:styleId="970" w:customStyle="1">
    <w:name w:val="Раздел положения"/>
    <w:basedOn w:val="887"/>
    <w:qFormat/>
    <w:pPr>
      <w:numPr>
        <w:ilvl w:val="0"/>
        <w:numId w:val="1"/>
      </w:numPr>
      <w:jc w:val="center"/>
      <w:spacing w:before="80" w:after="80"/>
    </w:pPr>
    <w:rPr>
      <w:b/>
      <w:sz w:val="32"/>
      <w:szCs w:val="32"/>
    </w:rPr>
  </w:style>
  <w:style w:type="paragraph" w:styleId="971" w:customStyle="1">
    <w:name w:val="Подраздел раздела положения"/>
    <w:basedOn w:val="887"/>
    <w:qFormat/>
    <w:pPr>
      <w:numPr>
        <w:ilvl w:val="1"/>
        <w:numId w:val="1"/>
      </w:numPr>
      <w:jc w:val="both"/>
      <w:spacing w:before="80" w:after="80"/>
    </w:pPr>
  </w:style>
  <w:style w:type="paragraph" w:styleId="972">
    <w:name w:val="footnote text"/>
    <w:basedOn w:val="887"/>
    <w:uiPriority w:val="99"/>
    <w:rPr>
      <w:sz w:val="20"/>
      <w:szCs w:val="20"/>
    </w:rPr>
  </w:style>
  <w:style w:type="paragraph" w:styleId="973" w:customStyle="1">
    <w:name w:val="Шапка 1"/>
    <w:basedOn w:val="887"/>
    <w:qFormat/>
    <w:pPr>
      <w:jc w:val="center"/>
      <w:spacing w:before="0" w:after="240"/>
      <w:pBdr>
        <w:bottom w:val="single" w:color="000000" w:sz="24" w:space="1"/>
      </w:pBdr>
    </w:pPr>
    <w:rPr>
      <w:sz w:val="22"/>
      <w:szCs w:val="22"/>
    </w:rPr>
  </w:style>
  <w:style w:type="paragraph" w:styleId="974" w:customStyle="1">
    <w:name w:val="Шапка 2"/>
    <w:basedOn w:val="887"/>
    <w:qFormat/>
    <w:pPr>
      <w:jc w:val="center"/>
      <w:spacing w:before="0" w:after="120"/>
      <w:pBdr>
        <w:bottom w:val="single" w:color="000000" w:sz="24" w:space="1"/>
      </w:pBdr>
    </w:pPr>
    <w:rPr>
      <w:b/>
      <w:sz w:val="22"/>
      <w:szCs w:val="22"/>
    </w:rPr>
  </w:style>
  <w:style w:type="paragraph" w:styleId="975" w:customStyle="1">
    <w:name w:val="Шапка 3"/>
    <w:basedOn w:val="887"/>
    <w:qFormat/>
    <w:pPr>
      <w:jc w:val="center"/>
      <w:spacing w:before="240" w:after="360"/>
      <w:pBdr>
        <w:bottom w:val="single" w:color="000000" w:sz="24" w:space="1"/>
      </w:pBdr>
    </w:pPr>
    <w:rPr>
      <w:b/>
      <w:sz w:val="24"/>
      <w:szCs w:val="24"/>
    </w:rPr>
  </w:style>
  <w:style w:type="paragraph" w:styleId="976" w:customStyle="1">
    <w:name w:val="Название1"/>
    <w:basedOn w:val="887"/>
    <w:uiPriority w:val="10"/>
    <w:qFormat/>
    <w:pPr>
      <w:jc w:val="center"/>
    </w:pPr>
    <w:rPr>
      <w:szCs w:val="20"/>
    </w:rPr>
  </w:style>
  <w:style w:type="paragraph" w:styleId="977">
    <w:name w:val="Колонтитул"/>
    <w:basedOn w:val="887"/>
    <w:qFormat/>
  </w:style>
  <w:style w:type="paragraph" w:styleId="978">
    <w:name w:val="Header"/>
    <w:basedOn w:val="887"/>
    <w:pPr>
      <w:tabs>
        <w:tab w:val="clear" w:pos="708" w:leader="none"/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979">
    <w:name w:val="Body Text Indent"/>
    <w:basedOn w:val="887"/>
    <w:pPr>
      <w:ind w:left="360"/>
    </w:pPr>
    <w:rPr>
      <w:sz w:val="24"/>
      <w:szCs w:val="24"/>
    </w:rPr>
  </w:style>
  <w:style w:type="paragraph" w:styleId="980">
    <w:name w:val="Footer"/>
    <w:basedOn w:val="887"/>
    <w:pPr>
      <w:tabs>
        <w:tab w:val="clear" w:pos="708" w:leader="none"/>
        <w:tab w:val="center" w:pos="4677" w:leader="none"/>
        <w:tab w:val="right" w:pos="9355" w:leader="none"/>
      </w:tabs>
    </w:pPr>
  </w:style>
  <w:style w:type="paragraph" w:styleId="981">
    <w:name w:val="Body Text Indent 2"/>
    <w:basedOn w:val="887"/>
    <w:qFormat/>
    <w:pPr>
      <w:ind w:left="283"/>
      <w:spacing w:before="0" w:after="120" w:line="480" w:lineRule="auto"/>
    </w:pPr>
  </w:style>
  <w:style w:type="paragraph" w:styleId="982">
    <w:name w:val="Body Text 3"/>
    <w:basedOn w:val="887"/>
    <w:qFormat/>
    <w:pPr>
      <w:spacing w:before="0" w:after="120"/>
    </w:pPr>
    <w:rPr>
      <w:sz w:val="16"/>
      <w:szCs w:val="16"/>
    </w:rPr>
  </w:style>
  <w:style w:type="paragraph" w:styleId="983">
    <w:name w:val="Body Text Indent 3"/>
    <w:basedOn w:val="887"/>
    <w:qFormat/>
    <w:pPr>
      <w:ind w:left="283"/>
      <w:spacing w:before="0" w:after="120"/>
    </w:pPr>
    <w:rPr>
      <w:sz w:val="16"/>
      <w:szCs w:val="16"/>
    </w:rPr>
  </w:style>
  <w:style w:type="paragraph" w:styleId="984">
    <w:name w:val="Body Text 2"/>
    <w:basedOn w:val="887"/>
    <w:qFormat/>
    <w:pPr>
      <w:spacing w:before="0" w:after="120" w:line="480" w:lineRule="auto"/>
    </w:pPr>
  </w:style>
  <w:style w:type="paragraph" w:styleId="985">
    <w:name w:val="Block Text"/>
    <w:basedOn w:val="887"/>
    <w:qFormat/>
    <w:pPr>
      <w:ind w:left="-567" w:right="-766"/>
      <w:jc w:val="center"/>
    </w:pPr>
    <w:rPr>
      <w:b/>
      <w:bCs/>
      <w:sz w:val="24"/>
      <w:szCs w:val="20"/>
    </w:rPr>
  </w:style>
  <w:style w:type="paragraph" w:styleId="986" w:customStyle="1">
    <w:name w:val="Подпункт"/>
    <w:basedOn w:val="887"/>
    <w:qFormat/>
    <w:pPr>
      <w:ind w:left="1134" w:hanging="1134"/>
      <w:jc w:val="both"/>
      <w:spacing w:line="360" w:lineRule="auto"/>
      <w:tabs>
        <w:tab w:val="clear" w:pos="708" w:leader="none"/>
        <w:tab w:val="left" w:pos="1134" w:leader="none"/>
      </w:tabs>
    </w:pPr>
    <w:rPr>
      <w:szCs w:val="20"/>
    </w:rPr>
  </w:style>
  <w:style w:type="paragraph" w:styleId="987" w:customStyle="1">
    <w:name w:val="Пункт2"/>
    <w:basedOn w:val="887"/>
    <w:qFormat/>
    <w:pPr>
      <w:ind w:left="1134" w:hanging="1134"/>
      <w:keepNext/>
      <w:spacing w:before="240" w:after="120"/>
      <w:tabs>
        <w:tab w:val="clear" w:pos="708" w:leader="none"/>
        <w:tab w:val="left" w:pos="1134" w:leader="none"/>
      </w:tabs>
      <w:outlineLvl w:val="2"/>
    </w:pPr>
    <w:rPr>
      <w:b/>
      <w:szCs w:val="20"/>
    </w:rPr>
  </w:style>
  <w:style w:type="paragraph" w:styleId="988">
    <w:name w:val="toc 1"/>
    <w:basedOn w:val="887"/>
    <w:uiPriority w:val="39"/>
    <w:pPr>
      <w:spacing w:before="120" w:after="0"/>
    </w:pPr>
    <w:rPr>
      <w:rFonts w:cs="calibri light (Заголовки)"/>
      <w:b/>
      <w:bCs/>
      <w:sz w:val="24"/>
      <w:szCs w:val="24"/>
    </w:rPr>
  </w:style>
  <w:style w:type="paragraph" w:styleId="989">
    <w:name w:val="toc 3"/>
    <w:basedOn w:val="887"/>
    <w:uiPriority w:val="39"/>
    <w:pPr>
      <w:tabs>
        <w:tab w:val="clear" w:pos="708" w:leader="none"/>
        <w:tab w:val="left" w:pos="1120" w:leader="none"/>
        <w:tab w:val="right" w:pos="9911" w:leader="dot"/>
      </w:tabs>
    </w:pPr>
    <w:rPr>
      <w:rFonts w:cs="Calibri" w:cstheme="minorHAnsi"/>
      <w:sz w:val="20"/>
      <w:szCs w:val="20"/>
    </w:rPr>
  </w:style>
  <w:style w:type="paragraph" w:styleId="990" w:customStyle="1">
    <w:name w:val="Раздел регламента"/>
    <w:basedOn w:val="887"/>
    <w:qFormat/>
  </w:style>
  <w:style w:type="paragraph" w:styleId="991" w:customStyle="1">
    <w:name w:val="Приложение к регламенту"/>
    <w:basedOn w:val="887"/>
    <w:qFormat/>
    <w:pPr>
      <w:jc w:val="right"/>
    </w:pPr>
  </w:style>
  <w:style w:type="paragraph" w:styleId="992">
    <w:name w:val="toc 2"/>
    <w:basedOn w:val="887"/>
    <w:uiPriority w:val="39"/>
    <w:pPr>
      <w:spacing w:before="240" w:after="0"/>
    </w:pPr>
    <w:rPr>
      <w:rFonts w:cs="Calibri" w:cstheme="minorHAnsi"/>
      <w:b/>
      <w:bCs/>
      <w:sz w:val="20"/>
      <w:szCs w:val="20"/>
    </w:rPr>
  </w:style>
  <w:style w:type="paragraph" w:styleId="993">
    <w:name w:val="Balloon Text"/>
    <w:basedOn w:val="887"/>
    <w:semiHidden/>
    <w:qFormat/>
    <w:rPr>
      <w:rFonts w:ascii="Tahoma" w:hAnsi="Tahoma" w:cs="Tahoma"/>
      <w:sz w:val="16"/>
      <w:szCs w:val="16"/>
    </w:rPr>
  </w:style>
  <w:style w:type="paragraph" w:styleId="994">
    <w:name w:val="annotation text"/>
    <w:basedOn w:val="887"/>
    <w:qFormat/>
    <w:rPr>
      <w:sz w:val="20"/>
      <w:szCs w:val="20"/>
    </w:rPr>
  </w:style>
  <w:style w:type="paragraph" w:styleId="995">
    <w:name w:val="annotation subject"/>
    <w:basedOn w:val="994"/>
    <w:semiHidden/>
    <w:qFormat/>
    <w:rPr>
      <w:b/>
      <w:bCs/>
    </w:rPr>
  </w:style>
  <w:style w:type="paragraph" w:styleId="996" w:customStyle="1">
    <w:name w:val="Обычный (веб)1"/>
    <w:basedOn w:val="887"/>
    <w:uiPriority w:val="99"/>
    <w:qFormat/>
    <w:pPr>
      <w:spacing w:beforeAutospacing="1" w:afterAutospacing="1"/>
    </w:pPr>
    <w:rPr>
      <w:rFonts w:ascii="Arial Unicode MS" w:hAnsi="Arial Unicode MS" w:eastAsia="Arial Unicode MS" w:cs="Arial Unicode MS"/>
      <w:sz w:val="24"/>
      <w:szCs w:val="24"/>
    </w:rPr>
  </w:style>
  <w:style w:type="paragraph" w:styleId="997">
    <w:name w:val="toc 9"/>
    <w:basedOn w:val="887"/>
    <w:semiHidden/>
    <w:pPr>
      <w:ind w:left="1960"/>
    </w:pPr>
    <w:rPr>
      <w:rFonts w:ascii="Calibri" w:hAnsi="Calibri" w:cs="Calibri" w:asciiTheme="minorHAnsi" w:hAnsiTheme="minorHAnsi" w:cstheme="minorHAnsi"/>
      <w:sz w:val="20"/>
      <w:szCs w:val="20"/>
    </w:rPr>
  </w:style>
  <w:style w:type="paragraph" w:styleId="998">
    <w:name w:val="toc 5"/>
    <w:basedOn w:val="887"/>
    <w:semiHidden/>
    <w:pPr>
      <w:ind w:left="840"/>
    </w:pPr>
    <w:rPr>
      <w:rFonts w:ascii="Calibri" w:hAnsi="Calibri" w:cs="Calibri" w:asciiTheme="minorHAnsi" w:hAnsiTheme="minorHAnsi" w:cstheme="minorHAnsi"/>
      <w:sz w:val="20"/>
      <w:szCs w:val="20"/>
    </w:rPr>
  </w:style>
  <w:style w:type="paragraph" w:styleId="999">
    <w:name w:val="toc 4"/>
    <w:basedOn w:val="887"/>
    <w:uiPriority w:val="39"/>
    <w:pPr>
      <w:tabs>
        <w:tab w:val="clear" w:pos="708" w:leader="none"/>
        <w:tab w:val="left" w:pos="1120" w:leader="none"/>
        <w:tab w:val="right" w:pos="9911" w:leader="dot"/>
      </w:tabs>
    </w:pPr>
    <w:rPr>
      <w:rFonts w:cs="Calibri" w:cstheme="minorHAnsi"/>
      <w:sz w:val="20"/>
      <w:szCs w:val="20"/>
    </w:rPr>
  </w:style>
  <w:style w:type="paragraph" w:styleId="1000" w:customStyle="1">
    <w:name w:val="Раздел положения 2"/>
    <w:basedOn w:val="887"/>
    <w:qFormat/>
    <w:pPr>
      <w:jc w:val="both"/>
      <w:pageBreakBefore/>
      <w:outlineLvl w:val="0"/>
    </w:pPr>
    <w:rPr>
      <w:b/>
    </w:rPr>
  </w:style>
  <w:style w:type="paragraph" w:styleId="1001" w:customStyle="1">
    <w:name w:val="Знак Знак Знак Знак Знак Знак Знак Знак Знак"/>
    <w:basedOn w:val="887"/>
    <w:qFormat/>
    <w:pPr>
      <w:jc w:val="both"/>
      <w:spacing w:before="0"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paragraph" w:styleId="1002">
    <w:name w:val="No Spacing"/>
    <w:basedOn w:val="887"/>
    <w:uiPriority w:val="1"/>
    <w:qFormat/>
    <w:pPr>
      <w:spacing w:line="360" w:lineRule="auto"/>
    </w:pPr>
    <w:rPr>
      <w:rFonts w:eastAsia="Calibri"/>
      <w:sz w:val="24"/>
      <w:szCs w:val="24"/>
    </w:rPr>
  </w:style>
  <w:style w:type="paragraph" w:styleId="1003">
    <w:name w:val="Subtitle"/>
    <w:basedOn w:val="887"/>
    <w:uiPriority w:val="11"/>
    <w:qFormat/>
    <w:p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paragraph" w:styleId="1004">
    <w:name w:val="List Paragraph"/>
    <w:basedOn w:val="887"/>
    <w:uiPriority w:val="34"/>
    <w:qFormat/>
    <w:pPr>
      <w:contextualSpacing/>
      <w:ind w:left="720"/>
      <w:spacing w:before="0" w:after="0"/>
    </w:pPr>
    <w:rPr>
      <w:rFonts w:eastAsia="Calibri"/>
      <w:sz w:val="24"/>
      <w:szCs w:val="24"/>
    </w:rPr>
  </w:style>
  <w:style w:type="paragraph" w:styleId="1005">
    <w:name w:val="Quote"/>
    <w:basedOn w:val="887"/>
    <w:uiPriority w:val="29"/>
    <w:qFormat/>
    <w:rPr>
      <w:rFonts w:ascii="Calibri" w:hAnsi="Calibri" w:eastAsia="Calibri"/>
      <w:i/>
      <w:iCs/>
      <w:color w:val="000000"/>
      <w:sz w:val="20"/>
      <w:szCs w:val="20"/>
    </w:rPr>
  </w:style>
  <w:style w:type="paragraph" w:styleId="1006">
    <w:name w:val="Intense Quote"/>
    <w:basedOn w:val="887"/>
    <w:uiPriority w:val="30"/>
    <w:qFormat/>
    <w:pPr>
      <w:ind w:left="936" w:right="936"/>
      <w:spacing w:before="200" w:after="280"/>
      <w:pBdr>
        <w:bottom w:val="single" w:color="4F81BD" w:sz="4" w:space="4"/>
      </w:pBdr>
    </w:pPr>
    <w:rPr>
      <w:rFonts w:ascii="Calibri" w:hAnsi="Calibri" w:eastAsia="Calibri"/>
      <w:b/>
      <w:bCs/>
      <w:i/>
      <w:iCs/>
      <w:color w:val="4f81bd"/>
      <w:sz w:val="20"/>
      <w:szCs w:val="20"/>
    </w:rPr>
  </w:style>
  <w:style w:type="paragraph" w:styleId="1007">
    <w:name w:val="Index Heading"/>
    <w:basedOn w:val="962"/>
  </w:style>
  <w:style w:type="paragraph" w:styleId="1008">
    <w:name w:val="TOC Heading"/>
    <w:basedOn w:val="888"/>
    <w:uiPriority w:val="39"/>
    <w:qFormat/>
    <w:pPr>
      <w:keepLines/>
      <w:spacing w:before="480" w:after="60"/>
      <w:outlineLvl w:val="9"/>
    </w:pPr>
    <w:rPr>
      <w:rFonts w:ascii="Cambria" w:hAnsi="Cambria"/>
      <w:bCs/>
      <w:color w:val="365f91"/>
    </w:rPr>
  </w:style>
  <w:style w:type="paragraph" w:styleId="1009">
    <w:name w:val="E-mail Signature"/>
    <w:basedOn w:val="887"/>
    <w:uiPriority w:val="99"/>
    <w:unhideWhenUsed/>
    <w:qFormat/>
    <w:rPr>
      <w:rFonts w:eastAsia="Calibri"/>
      <w:sz w:val="24"/>
      <w:szCs w:val="24"/>
    </w:rPr>
  </w:style>
  <w:style w:type="paragraph" w:styleId="1010" w:customStyle="1">
    <w:name w:val="Знак"/>
    <w:basedOn w:val="887"/>
    <w:qFormat/>
    <w:pPr>
      <w:spacing w:before="0"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11" w:customStyle="1">
    <w:name w:val="Нумерованный список ур3"/>
    <w:basedOn w:val="887"/>
    <w:qFormat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1012" w:customStyle="1">
    <w:name w:val="Нумерованный список 1"/>
    <w:basedOn w:val="887"/>
    <w:qFormat/>
    <w:pPr>
      <w:numPr>
        <w:ilvl w:val="0"/>
        <w:numId w:val="2"/>
      </w:numPr>
      <w:jc w:val="both"/>
      <w:spacing w:before="120" w:after="0"/>
    </w:pPr>
    <w:rPr>
      <w:rFonts w:ascii="Garamond" w:hAnsi="Garamond"/>
      <w:sz w:val="24"/>
      <w:szCs w:val="20"/>
    </w:rPr>
  </w:style>
  <w:style w:type="paragraph" w:styleId="1013" w:customStyle="1">
    <w:name w:val="Нумерованный список ур2"/>
    <w:basedOn w:val="887"/>
    <w:qFormat/>
    <w:pPr>
      <w:numPr>
        <w:ilvl w:val="1"/>
        <w:numId w:val="2"/>
      </w:numPr>
      <w:jc w:val="both"/>
      <w:spacing w:before="120" w:after="0"/>
    </w:pPr>
    <w:rPr>
      <w:rFonts w:ascii="Garamond" w:hAnsi="Garamond"/>
      <w:sz w:val="24"/>
      <w:szCs w:val="20"/>
    </w:rPr>
  </w:style>
  <w:style w:type="paragraph" w:styleId="1014">
    <w:name w:val="Revision"/>
    <w:uiPriority w:val="99"/>
    <w:semiHidden/>
    <w:qFormat/>
    <w:pPr>
      <w:jc w:val="left"/>
      <w:spacing w:before="0" w:after="0"/>
      <w:widowControl/>
    </w:pPr>
    <w:rPr>
      <w:rFonts w:ascii="Times New Roman" w:hAnsi="Times New Roman" w:eastAsia="Calibri" w:cs="Lohit Devanagari"/>
      <w:color w:val="auto"/>
      <w:sz w:val="24"/>
      <w:szCs w:val="24"/>
      <w:lang w:val="ru-RU" w:eastAsia="ru-RU" w:bidi="ar-SA"/>
    </w:rPr>
  </w:style>
  <w:style w:type="paragraph" w:styleId="1015" w:customStyle="1">
    <w:name w:val="ConsPlusNormal"/>
    <w:qFormat/>
    <w:pPr>
      <w:ind w:firstLine="720"/>
      <w:jc w:val="left"/>
      <w:spacing w:before="0" w:after="0"/>
      <w:widowControl w:val="off"/>
    </w:pPr>
    <w:rPr>
      <w:rFonts w:ascii="Arial" w:hAnsi="Arial" w:eastAsia="Tahoma" w:cs="Arial"/>
      <w:color w:val="auto"/>
      <w:sz w:val="20"/>
      <w:szCs w:val="20"/>
      <w:lang w:val="ru-RU" w:eastAsia="ru-RU" w:bidi="ar-SA"/>
    </w:rPr>
  </w:style>
  <w:style w:type="paragraph" w:styleId="1016" w:customStyle="1">
    <w:name w:val="Знак Знак3 Знак Знак"/>
    <w:basedOn w:val="887"/>
    <w:qFormat/>
    <w:pPr>
      <w:jc w:val="both"/>
      <w:spacing w:before="0"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paragraph" w:styleId="1017" w:customStyle="1">
    <w:name w:val="Пункт"/>
    <w:basedOn w:val="887"/>
    <w:qFormat/>
    <w:pPr>
      <w:ind w:left="1134" w:right="800" w:hanging="1134"/>
      <w:jc w:val="both"/>
      <w:spacing w:before="120" w:after="0" w:line="360" w:lineRule="auto"/>
      <w:widowControl w:val="off"/>
      <w:tabs>
        <w:tab w:val="clear" w:pos="708" w:leader="none"/>
        <w:tab w:val="left" w:pos="1134" w:leader="none"/>
      </w:tabs>
    </w:pPr>
    <w:rPr>
      <w:rFonts w:ascii="Arial" w:hAnsi="Arial"/>
      <w:b/>
      <w:i/>
      <w:szCs w:val="20"/>
    </w:rPr>
  </w:style>
  <w:style w:type="paragraph" w:styleId="1018" w:customStyle="1">
    <w:name w:val="Абзац списка1"/>
    <w:basedOn w:val="887"/>
    <w:qFormat/>
    <w:pPr>
      <w:contextualSpacing/>
      <w:ind w:left="720"/>
      <w:spacing w:before="0"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1019" w:customStyle="1">
    <w:name w:val="Таблица"/>
    <w:basedOn w:val="887"/>
    <w:qFormat/>
    <w:pPr>
      <w:jc w:val="center"/>
      <w:keepNext/>
      <w:spacing w:before="60" w:after="60"/>
    </w:pPr>
    <w:rPr>
      <w:rFonts w:eastAsia="Calibri"/>
      <w:b/>
      <w:sz w:val="24"/>
      <w:szCs w:val="24"/>
    </w:rPr>
  </w:style>
  <w:style w:type="paragraph" w:styleId="1020" w:customStyle="1">
    <w:name w:val="Таблица шапка"/>
    <w:basedOn w:val="887"/>
    <w:qFormat/>
    <w:pPr>
      <w:ind w:left="57" w:right="57"/>
      <w:keepNext/>
      <w:spacing w:before="40" w:after="40"/>
    </w:pPr>
    <w:rPr>
      <w:sz w:val="22"/>
      <w:szCs w:val="26"/>
    </w:rPr>
  </w:style>
  <w:style w:type="paragraph" w:styleId="1021" w:customStyle="1">
    <w:name w:val="Подподпункт"/>
    <w:basedOn w:val="986"/>
    <w:qFormat/>
    <w:pPr>
      <w:ind w:left="5104" w:hanging="567"/>
      <w:spacing w:before="120" w:after="0" w:line="240" w:lineRule="auto"/>
      <w:tabs>
        <w:tab w:val="clear" w:pos="1134" w:leader="none"/>
        <w:tab w:val="left" w:pos="5104" w:leader="none"/>
      </w:tabs>
    </w:pPr>
    <w:rPr>
      <w:sz w:val="26"/>
      <w:szCs w:val="26"/>
      <w:lang w:val="ru-RU" w:eastAsia="ru-RU"/>
    </w:rPr>
  </w:style>
  <w:style w:type="paragraph" w:styleId="1022" w:customStyle="1">
    <w:name w:val="УРОВЕНЬ_(а)"/>
    <w:basedOn w:val="1004"/>
    <w:qFormat/>
    <w:pPr>
      <w:numPr>
        <w:ilvl w:val="3"/>
        <w:numId w:val="4"/>
      </w:numPr>
      <w:contextualSpacing w:val="0"/>
      <w:jc w:val="both"/>
      <w:spacing w:before="120" w:after="0" w:line="360" w:lineRule="exact"/>
      <w:outlineLvl w:val="3"/>
    </w:pPr>
    <w:rPr>
      <w:sz w:val="26"/>
      <w:szCs w:val="28"/>
      <w:lang w:eastAsia="en-US"/>
    </w:rPr>
  </w:style>
  <w:style w:type="paragraph" w:styleId="1023" w:customStyle="1">
    <w:name w:val="УРОВЕНЬ_-"/>
    <w:basedOn w:val="1004"/>
    <w:qFormat/>
    <w:pPr>
      <w:numPr>
        <w:ilvl w:val="4"/>
        <w:numId w:val="4"/>
      </w:numPr>
      <w:contextualSpacing w:val="0"/>
      <w:jc w:val="both"/>
      <w:spacing w:before="120" w:after="0" w:line="360" w:lineRule="exact"/>
      <w:outlineLvl w:val="4"/>
    </w:pPr>
    <w:rPr>
      <w:sz w:val="26"/>
      <w:szCs w:val="28"/>
      <w:lang w:eastAsia="en-US"/>
    </w:rPr>
  </w:style>
  <w:style w:type="paragraph" w:styleId="1024" w:customStyle="1">
    <w:name w:val="УРОВЕНЬ_Абзац_тип2"/>
    <w:basedOn w:val="1004"/>
    <w:qFormat/>
    <w:pPr>
      <w:numPr>
        <w:ilvl w:val="6"/>
        <w:numId w:val="4"/>
      </w:numPr>
      <w:contextualSpacing w:val="0"/>
      <w:jc w:val="both"/>
      <w:spacing w:before="120" w:after="0" w:line="360" w:lineRule="exact"/>
    </w:pPr>
    <w:rPr>
      <w:sz w:val="26"/>
      <w:szCs w:val="28"/>
      <w:lang w:eastAsia="en-US"/>
    </w:rPr>
  </w:style>
  <w:style w:type="paragraph" w:styleId="1025" w:customStyle="1">
    <w:name w:val="УРОВЕНЬ_Абзац_тип3"/>
    <w:basedOn w:val="1004"/>
    <w:qFormat/>
    <w:pPr>
      <w:numPr>
        <w:ilvl w:val="7"/>
        <w:numId w:val="4"/>
      </w:numPr>
      <w:contextualSpacing w:val="0"/>
      <w:jc w:val="both"/>
      <w:spacing w:before="120" w:after="0" w:line="360" w:lineRule="exact"/>
    </w:pPr>
    <w:rPr>
      <w:sz w:val="26"/>
      <w:szCs w:val="28"/>
      <w:lang w:eastAsia="en-US"/>
    </w:rPr>
  </w:style>
  <w:style w:type="paragraph" w:styleId="1026" w:customStyle="1">
    <w:name w:val="УРОВЕНЬ_Подпись"/>
    <w:basedOn w:val="1004"/>
    <w:qFormat/>
    <w:pPr>
      <w:numPr>
        <w:ilvl w:val="5"/>
        <w:numId w:val="4"/>
      </w:numPr>
      <w:contextualSpacing w:val="0"/>
      <w:jc w:val="right"/>
      <w:keepNext/>
      <w:spacing w:before="120" w:after="120" w:line="360" w:lineRule="exact"/>
      <w:outlineLvl w:val="3"/>
    </w:pPr>
    <w:rPr>
      <w:sz w:val="26"/>
      <w:szCs w:val="28"/>
      <w:lang w:eastAsia="en-US"/>
    </w:rPr>
  </w:style>
  <w:style w:type="paragraph" w:styleId="1027" w:customStyle="1">
    <w:name w:val="Стиль Заголовок 1 + по ширине"/>
    <w:basedOn w:val="888"/>
    <w:qFormat/>
    <w:pPr>
      <w:numPr>
        <w:ilvl w:val="0"/>
        <w:numId w:val="0"/>
      </w:numPr>
      <w:ind w:left="567" w:hanging="567"/>
      <w:jc w:val="both"/>
      <w:keepLines/>
      <w:spacing w:before="480" w:after="240"/>
      <w:tabs>
        <w:tab w:val="left" w:pos="567" w:leader="none"/>
        <w:tab w:val="clear" w:pos="708" w:leader="none"/>
      </w:tabs>
    </w:pPr>
    <w:rPr>
      <w:rFonts w:ascii="Arial" w:hAnsi="Arial" w:eastAsia="Times New Roman"/>
      <w:bCs/>
      <w:sz w:val="40"/>
      <w:szCs w:val="20"/>
      <w:lang w:val="ru-RU" w:eastAsia="ru-RU"/>
    </w:rPr>
  </w:style>
  <w:style w:type="paragraph" w:styleId="1028">
    <w:name w:val="endnote text"/>
    <w:basedOn w:val="887"/>
    <w:rPr>
      <w:sz w:val="20"/>
      <w:szCs w:val="20"/>
    </w:rPr>
  </w:style>
  <w:style w:type="paragraph" w:styleId="1029" w:customStyle="1">
    <w:name w:val="Заголовок 2 КВВ"/>
    <w:basedOn w:val="887"/>
    <w:qFormat/>
    <w:pPr>
      <w:numPr>
        <w:ilvl w:val="0"/>
        <w:numId w:val="5"/>
      </w:numPr>
      <w:jc w:val="both"/>
      <w:keepNext/>
      <w:spacing w:before="120" w:after="120"/>
      <w:outlineLvl w:val="0"/>
    </w:pPr>
    <w:rPr>
      <w:b/>
      <w:sz w:val="24"/>
      <w:szCs w:val="20"/>
    </w:rPr>
  </w:style>
  <w:style w:type="paragraph" w:styleId="1030" w:customStyle="1">
    <w:name w:val="Таблица текст"/>
    <w:basedOn w:val="887"/>
    <w:qFormat/>
    <w:pPr>
      <w:ind w:left="57" w:right="57"/>
      <w:spacing w:before="40" w:after="40"/>
    </w:pPr>
    <w:rPr>
      <w:sz w:val="24"/>
      <w:szCs w:val="26"/>
    </w:rPr>
  </w:style>
  <w:style w:type="paragraph" w:styleId="1031">
    <w:name w:val="Normal (Web)"/>
    <w:basedOn w:val="887"/>
    <w:uiPriority w:val="99"/>
    <w:unhideWhenUsed/>
    <w:qFormat/>
    <w:pPr>
      <w:spacing w:beforeAutospacing="1" w:afterAutospacing="1"/>
    </w:pPr>
    <w:rPr>
      <w:sz w:val="24"/>
      <w:szCs w:val="24"/>
    </w:rPr>
  </w:style>
  <w:style w:type="paragraph" w:styleId="1032" w:customStyle="1">
    <w:name w:val="УРОВЕНЬ_1."/>
    <w:basedOn w:val="1004"/>
    <w:qFormat/>
    <w:pPr>
      <w:contextualSpacing w:val="0"/>
      <w:ind w:left="0"/>
      <w:jc w:val="both"/>
      <w:keepLines/>
      <w:keepNext/>
      <w:spacing w:before="240" w:after="120" w:line="276" w:lineRule="auto"/>
      <w:outlineLvl w:val="0"/>
    </w:pPr>
    <w:rPr>
      <w:caps/>
      <w:sz w:val="28"/>
      <w:szCs w:val="28"/>
      <w:lang w:eastAsia="en-US"/>
    </w:rPr>
  </w:style>
  <w:style w:type="paragraph" w:styleId="1033">
    <w:name w:val="toc 6"/>
    <w:basedOn w:val="887"/>
    <w:unhideWhenUsed/>
    <w:pPr>
      <w:ind w:left="1120"/>
    </w:pPr>
    <w:rPr>
      <w:rFonts w:ascii="Calibri" w:hAnsi="Calibri" w:cs="Calibri" w:asciiTheme="minorHAnsi" w:hAnsiTheme="minorHAnsi" w:cstheme="minorHAnsi"/>
      <w:sz w:val="20"/>
      <w:szCs w:val="20"/>
    </w:rPr>
  </w:style>
  <w:style w:type="paragraph" w:styleId="1034">
    <w:name w:val="toc 7"/>
    <w:basedOn w:val="887"/>
    <w:unhideWhenUsed/>
    <w:pPr>
      <w:ind w:left="1400"/>
    </w:pPr>
    <w:rPr>
      <w:rFonts w:ascii="Calibri" w:hAnsi="Calibri" w:cs="Calibri" w:asciiTheme="minorHAnsi" w:hAnsiTheme="minorHAnsi" w:cstheme="minorHAnsi"/>
      <w:sz w:val="20"/>
      <w:szCs w:val="20"/>
    </w:rPr>
  </w:style>
  <w:style w:type="paragraph" w:styleId="1035">
    <w:name w:val="toc 8"/>
    <w:basedOn w:val="887"/>
    <w:unhideWhenUsed/>
    <w:pPr>
      <w:ind w:left="1680"/>
    </w:pPr>
    <w:rPr>
      <w:rFonts w:ascii="Calibri" w:hAnsi="Calibri" w:cs="Calibri" w:asciiTheme="minorHAnsi" w:hAnsiTheme="minorHAnsi" w:cstheme="minorHAnsi"/>
      <w:sz w:val="20"/>
      <w:szCs w:val="20"/>
    </w:rPr>
  </w:style>
  <w:style w:type="paragraph" w:styleId="1036" w:customStyle="1">
    <w:name w:val="Пункт Знак"/>
    <w:basedOn w:val="887"/>
    <w:qFormat/>
    <w:pPr>
      <w:ind w:left="1844" w:hanging="567"/>
      <w:jc w:val="both"/>
      <w:spacing w:line="360" w:lineRule="auto"/>
      <w:tabs>
        <w:tab w:val="clear" w:pos="708" w:leader="none"/>
        <w:tab w:val="left" w:pos="851" w:leader="none"/>
        <w:tab w:val="left" w:pos="1134" w:leader="none"/>
        <w:tab w:val="left" w:pos="1844" w:leader="none"/>
      </w:tabs>
    </w:pPr>
    <w:rPr>
      <w:b/>
      <w:szCs w:val="20"/>
    </w:rPr>
  </w:style>
  <w:style w:type="paragraph" w:styleId="1037" w:customStyle="1">
    <w:name w:val="Подподподпункт"/>
    <w:basedOn w:val="887"/>
    <w:qFormat/>
    <w:pPr>
      <w:ind w:left="1718" w:hanging="1008"/>
      <w:jc w:val="both"/>
      <w:spacing w:line="360" w:lineRule="auto"/>
      <w:tabs>
        <w:tab w:val="clear" w:pos="708" w:leader="none"/>
        <w:tab w:val="left" w:pos="1134" w:leader="none"/>
        <w:tab w:val="left" w:pos="1701" w:leader="none"/>
      </w:tabs>
    </w:pPr>
    <w:rPr>
      <w:szCs w:val="20"/>
    </w:rPr>
  </w:style>
  <w:style w:type="paragraph" w:styleId="1038" w:customStyle="1">
    <w:name w:val="Пункт1"/>
    <w:basedOn w:val="887"/>
    <w:qFormat/>
    <w:pPr>
      <w:ind w:left="567" w:hanging="279"/>
      <w:jc w:val="center"/>
      <w:spacing w:before="240" w:after="0" w:line="360" w:lineRule="auto"/>
      <w:tabs>
        <w:tab w:val="left" w:pos="567" w:leader="none"/>
        <w:tab w:val="clear" w:pos="708" w:leader="none"/>
      </w:tabs>
    </w:pPr>
    <w:rPr>
      <w:rFonts w:ascii="Arial" w:hAnsi="Arial"/>
      <w:b/>
    </w:rPr>
  </w:style>
  <w:style w:type="paragraph" w:styleId="1039">
    <w:name w:val="Содержимое врезки"/>
    <w:basedOn w:val="887"/>
    <w:qFormat/>
  </w:style>
  <w:style w:type="numbering" w:styleId="1040" w:default="1">
    <w:name w:val="No List"/>
    <w:uiPriority w:val="99"/>
    <w:semiHidden/>
    <w:unhideWhenUsed/>
    <w:qFormat/>
  </w:style>
  <w:style w:type="numbering" w:styleId="1041" w:customStyle="1">
    <w:name w:val="Стиль1"/>
    <w:uiPriority w:val="99"/>
    <w:qFormat/>
  </w:style>
  <w:style w:type="numbering" w:styleId="1042" w:customStyle="1">
    <w:name w:val="Стиль2"/>
    <w:uiPriority w:val="99"/>
    <w:qFormat/>
  </w:style>
  <w:style w:type="table" w:styleId="1043" w:default="1">
    <w:name w:val="Normal Table"/>
    <w:uiPriority w:val="99"/>
    <w:semiHidden/>
    <w:unhideWhenUsed/>
    <w:tblPr/>
  </w:style>
  <w:style w:type="paragraph" w:styleId="1044" w:customStyle="1">
    <w:name w:val="dt-p"/>
    <w:pPr>
      <w:contextualSpacing w:val="0"/>
      <w:ind w:left="0" w:right="0" w:firstLine="0"/>
      <w:jc w:val="left"/>
      <w:keepLines w:val="0"/>
      <w:keepNext w:val="0"/>
      <w:pageBreakBefore w:val="0"/>
      <w:spacing w:before="100" w:beforeAutospacing="1" w:after="100" w:afterAutospacing="1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customXml" Target="../customXml/item1.xml" /><Relationship Id="rId13" Type="http://schemas.openxmlformats.org/officeDocument/2006/relationships/image" Target="media/image1.jpg"/><Relationship Id="rId14" Type="http://schemas.openxmlformats.org/officeDocument/2006/relationships/image" Target="media/image2.emf"/><Relationship Id="rId15" Type="http://schemas.openxmlformats.org/officeDocument/2006/relationships/package" Target="embeddings/Microsoft_Excel_Worksheet1.xlsx"/><Relationship Id="rId16" Type="http://schemas.openxmlformats.org/officeDocument/2006/relationships/image" Target="media/image3.emf"/><Relationship Id="rId17" Type="http://schemas.openxmlformats.org/officeDocument/2006/relationships/package" Target="embeddings/Microsoft_Excel_Worksheet2.xlsx"/><Relationship Id="rId18" Type="http://schemas.openxmlformats.org/officeDocument/2006/relationships/image" Target="media/image4.jpg"/><Relationship Id="rId19" Type="http://schemas.openxmlformats.org/officeDocument/2006/relationships/image" Target="media/image5.emf"/><Relationship Id="rId20" Type="http://schemas.openxmlformats.org/officeDocument/2006/relationships/package" Target="embeddings/Microsoft_Excel_Worksheet3.xlsx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95C116-D1DD-44D2-9427-231D1C34F3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Microsoft</Company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dc:description/>
  <dc:language>ru-RU</dc:language>
  <cp:lastModifiedBy>sdfg</cp:lastModifiedBy>
  <cp:revision>29</cp:revision>
  <dcterms:created xsi:type="dcterms:W3CDTF">2024-04-23T23:02:00Z</dcterms:created>
  <dcterms:modified xsi:type="dcterms:W3CDTF">2026-02-19T23:07:43Z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